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0D" w:rsidRDefault="00571970">
      <w:hyperlink r:id="rId5" w:history="1">
        <w:r w:rsidRPr="002A3749">
          <w:rPr>
            <w:rStyle w:val="Hyperlink"/>
          </w:rPr>
          <w:t>https://www.mckinsey.com/business-functions/organization/our-insights/the-fairness-factor-in-performance-management</w:t>
        </w:r>
      </w:hyperlink>
    </w:p>
    <w:p w:rsidR="00571970" w:rsidRDefault="00571970">
      <w:hyperlink r:id="rId6" w:history="1">
        <w:r w:rsidRPr="002A3749">
          <w:rPr>
            <w:rStyle w:val="Hyperlink"/>
          </w:rPr>
          <w:t>https://www.clydeco.com/insight/article/continuing-the-drive-for-emiratisation</w:t>
        </w:r>
      </w:hyperlink>
    </w:p>
    <w:p w:rsidR="00571970" w:rsidRDefault="00571970">
      <w:r w:rsidRPr="00571970">
        <w:t>https://www.clydeco.com/insight/article/managing-an-employees-performance-in-ksa</w:t>
      </w:r>
      <w:bookmarkStart w:id="0" w:name="_GoBack"/>
      <w:bookmarkEnd w:id="0"/>
    </w:p>
    <w:sectPr w:rsidR="00571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1B"/>
    <w:rsid w:val="00571970"/>
    <w:rsid w:val="00984B0D"/>
    <w:rsid w:val="00A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9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lydeco.com/insight/article/continuing-the-drive-for-emiratisation" TargetMode="External"/><Relationship Id="rId5" Type="http://schemas.openxmlformats.org/officeDocument/2006/relationships/hyperlink" Target="https://www.mckinsey.com/business-functions/organization/our-insights/the-fairness-factor-in-performance-mana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Almutairi</dc:creator>
  <cp:keywords/>
  <dc:description/>
  <cp:lastModifiedBy>Abdullah Almutairi</cp:lastModifiedBy>
  <cp:revision>2</cp:revision>
  <dcterms:created xsi:type="dcterms:W3CDTF">2019-01-14T10:27:00Z</dcterms:created>
  <dcterms:modified xsi:type="dcterms:W3CDTF">2019-01-14T10:28:00Z</dcterms:modified>
</cp:coreProperties>
</file>