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D56" w:rsidRDefault="00777D56"/>
    <w:p w:rsidR="00777D56" w:rsidRDefault="00777D56">
      <w:r>
        <w:t>Tort Law Case</w:t>
      </w:r>
    </w:p>
    <w:p w:rsidR="009C6682" w:rsidRDefault="00777D56">
      <w:hyperlink r:id="rId4" w:history="1">
        <w:r w:rsidRPr="004C0E63">
          <w:rPr>
            <w:rStyle w:val="Hyperlink"/>
          </w:rPr>
          <w:t>https://www.clarkfountain.com/blog/2020/june/the-week-in-torts-cases-from-the-week-of-june-5-/</w:t>
        </w:r>
      </w:hyperlink>
    </w:p>
    <w:p w:rsidR="00777D56" w:rsidRDefault="00777D56"/>
    <w:p w:rsidR="00777D56" w:rsidRDefault="00777D56">
      <w:r>
        <w:t>Criminal Law Case</w:t>
      </w:r>
    </w:p>
    <w:p w:rsidR="00777D56" w:rsidRDefault="00777D56">
      <w:hyperlink r:id="rId5" w:history="1">
        <w:r>
          <w:rPr>
            <w:rStyle w:val="Hyperlink"/>
          </w:rPr>
          <w:t>https://harvardlawreview.org/2020/05/state-v-vanburen/</w:t>
        </w:r>
      </w:hyperlink>
      <w:bookmarkStart w:id="0" w:name="_GoBack"/>
      <w:bookmarkEnd w:id="0"/>
    </w:p>
    <w:sectPr w:rsidR="00777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56"/>
    <w:rsid w:val="00777D56"/>
    <w:rsid w:val="009C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EE8E"/>
  <w15:chartTrackingRefBased/>
  <w15:docId w15:val="{7D599480-4AAD-4066-8521-24443868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D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rvardlawreview.org/2020/05/state-v-vanburen/" TargetMode="External"/><Relationship Id="rId4" Type="http://schemas.openxmlformats.org/officeDocument/2006/relationships/hyperlink" Target="https://www.clarkfountain.com/blog/2020/june/the-week-in-torts-cases-from-the-week-of-june-5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Westry, Keesha - IT</dc:creator>
  <cp:keywords/>
  <dc:description/>
  <cp:lastModifiedBy>Westry, Keesha - IT</cp:lastModifiedBy>
  <cp:revision>1</cp:revision>
  <dcterms:created xsi:type="dcterms:W3CDTF">2020-06-29T04:36:00Z</dcterms:created>
  <dcterms:modified xsi:type="dcterms:W3CDTF">2020-06-29T04:42:00Z</dcterms:modified>
</cp:coreProperties>
</file>