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CDA0" w14:textId="4465BB87" w:rsidR="00581543" w:rsidRDefault="00581543">
      <w:hyperlink r:id="rId4" w:history="1">
        <w:r w:rsidRPr="00564992">
          <w:rPr>
            <w:rStyle w:val="Hyperlink"/>
          </w:rPr>
          <w:t>https://corporate.findlaw.com/litigation-disputes/summary-of-the-rules-of-evidence.html</w:t>
        </w:r>
      </w:hyperlink>
    </w:p>
    <w:p w14:paraId="4C37D7A6" w14:textId="77777777" w:rsidR="00581543" w:rsidRDefault="00581543"/>
    <w:sectPr w:rsidR="0058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43"/>
    <w:rsid w:val="0058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AB82"/>
  <w15:chartTrackingRefBased/>
  <w15:docId w15:val="{F8A39758-A9DE-4897-A250-CB22C0D1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rporate.findlaw.com/litigation-disputes/summary-of-the-rules-of-evid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ysbatchue@outlook.com</dc:creator>
  <cp:keywords/>
  <dc:description/>
  <cp:lastModifiedBy>ysbatchue@outlook.com</cp:lastModifiedBy>
  <cp:revision>1</cp:revision>
  <dcterms:created xsi:type="dcterms:W3CDTF">2021-11-17T02:03:00Z</dcterms:created>
  <dcterms:modified xsi:type="dcterms:W3CDTF">2021-11-17T02:04:00Z</dcterms:modified>
</cp:coreProperties>
</file>