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7A" w:rsidRPr="0099597A" w:rsidRDefault="0099597A" w:rsidP="0099597A">
      <w:pPr>
        <w:numPr>
          <w:ilvl w:val="0"/>
          <w:numId w:val="1"/>
        </w:numPr>
        <w:shd w:val="clear" w:color="auto" w:fill="FFFFFF"/>
        <w:spacing w:before="240" w:after="240" w:line="336" w:lineRule="auto"/>
        <w:ind w:left="2880" w:right="-270"/>
        <w:jc w:val="left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99597A">
        <w:rPr>
          <w:rFonts w:ascii="Verdana" w:eastAsia="Times New Roman" w:hAnsi="Verdana" w:cs="Tahoma"/>
          <w:color w:val="3063A5"/>
          <w:kern w:val="36"/>
          <w:sz w:val="36"/>
          <w:szCs w:val="36"/>
        </w:rPr>
        <w:t>Workplace Shifts</w:t>
      </w:r>
      <w:bookmarkStart w:id="0" w:name="_GoBack"/>
      <w:bookmarkEnd w:id="0"/>
    </w:p>
    <w:p w:rsidR="0099597A" w:rsidRPr="0099597A" w:rsidRDefault="0099597A" w:rsidP="0099597A">
      <w:pPr>
        <w:shd w:val="clear" w:color="auto" w:fill="FFFFFF"/>
        <w:spacing w:before="100" w:beforeAutospacing="1" w:after="24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Society has evolved over the last century causing organizations to change with the times.  </w:t>
      </w:r>
    </w:p>
    <w:p w:rsidR="0099597A" w:rsidRPr="0099597A" w:rsidRDefault="0099597A" w:rsidP="0099597A">
      <w:pPr>
        <w:shd w:val="clear" w:color="auto" w:fill="FFFFFF"/>
        <w:spacing w:before="100" w:beforeAutospacing="1" w:after="24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This evolution has, in turn, required workers to "re-tool" to be a productive and indispensable member of the workforce.  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Using this lead-in as the context, describes the workforce shifts in types of jobs during the past hundred years. Also, answer the over-arching question, "What implications have these workforce shifts created for today's HR manager?"</w:t>
      </w:r>
    </w:p>
    <w:p w:rsidR="0099597A" w:rsidRPr="0099597A" w:rsidRDefault="0099597A" w:rsidP="0099597A">
      <w:pPr>
        <w:shd w:val="clear" w:color="auto" w:fill="FFFFFF"/>
        <w:spacing w:before="100" w:beforeAutospacing="1" w:after="24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The requirements below must be met for your paper to be accepted and graded: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Write between 750 – 1,250 words (approximately 3 – 5 pages) using Microsoft Word in APA style, see example below.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Use font size 12 and 1” margins.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Include cover page and reference page.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At least 80% of your paper must be original content/writing.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No more than 20% of your content/information may come from references.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 xml:space="preserve">Use at least three references from outside the course </w:t>
      </w:r>
      <w:proofErr w:type="gramStart"/>
      <w:r w:rsidRPr="0099597A">
        <w:rPr>
          <w:rFonts w:ascii="Verdana" w:eastAsia="Times New Roman" w:hAnsi="Verdana" w:cs="Tahoma"/>
          <w:color w:val="111111"/>
          <w:sz w:val="21"/>
          <w:szCs w:val="21"/>
        </w:rPr>
        <w:t>material,</w:t>
      </w:r>
      <w:proofErr w:type="gramEnd"/>
      <w:r w:rsidRPr="0099597A">
        <w:rPr>
          <w:rFonts w:ascii="Verdana" w:eastAsia="Times New Roman" w:hAnsi="Verdana" w:cs="Tahoma"/>
          <w:color w:val="111111"/>
          <w:sz w:val="21"/>
          <w:szCs w:val="21"/>
        </w:rPr>
        <w:t xml:space="preserve"> one reference must be from EBSCOhost. Text book, lectures, and other materials in the course may be used, but are not counted toward the three reference requirement.</w:t>
      </w:r>
    </w:p>
    <w:p w:rsidR="0099597A" w:rsidRPr="0099597A" w:rsidRDefault="0099597A" w:rsidP="0099597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Cite all reference material (data, dates, graphs, quotes, paraphrased words, values, etc.) in the paper and list on a reference page in APA style.</w:t>
      </w:r>
    </w:p>
    <w:p w:rsidR="0099597A" w:rsidRPr="0099597A" w:rsidRDefault="0099597A" w:rsidP="0099597A">
      <w:pPr>
        <w:shd w:val="clear" w:color="auto" w:fill="FFFFFF"/>
        <w:spacing w:before="100" w:beforeAutospacing="1" w:after="24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References must come from sources such as, scholarly journals found in EBSCOhost, CNN, online newspapers such as, The Wall Street Journal, government websites, etc.</w:t>
      </w:r>
      <w:r>
        <w:rPr>
          <w:rFonts w:ascii="Verdana" w:eastAsia="Times New Roman" w:hAnsi="Verdana" w:cs="Tahoma"/>
          <w:color w:val="111111"/>
          <w:sz w:val="21"/>
          <w:szCs w:val="21"/>
        </w:rPr>
        <w:t xml:space="preserve"> but cannot use</w:t>
      </w:r>
      <w:r w:rsidRPr="0099597A">
        <w:rPr>
          <w:rFonts w:ascii="Verdana" w:eastAsia="Times New Roman" w:hAnsi="Verdana" w:cs="Tahoma"/>
          <w:color w:val="111111"/>
          <w:sz w:val="21"/>
          <w:szCs w:val="21"/>
        </w:rPr>
        <w:t xml:space="preserve"> Sources such as, Wikis, Yahoo Answers, </w:t>
      </w:r>
      <w:proofErr w:type="spellStart"/>
      <w:r w:rsidRPr="0099597A">
        <w:rPr>
          <w:rFonts w:ascii="Verdana" w:eastAsia="Times New Roman" w:hAnsi="Verdana" w:cs="Tahoma"/>
          <w:color w:val="111111"/>
          <w:sz w:val="21"/>
          <w:szCs w:val="21"/>
        </w:rPr>
        <w:t>eHow</w:t>
      </w:r>
      <w:proofErr w:type="spellEnd"/>
      <w:r w:rsidRPr="0099597A">
        <w:rPr>
          <w:rFonts w:ascii="Verdana" w:eastAsia="Times New Roman" w:hAnsi="Verdana" w:cs="Tahoma"/>
          <w:color w:val="111111"/>
          <w:sz w:val="21"/>
          <w:szCs w:val="21"/>
        </w:rPr>
        <w:t>, blogs, etc. are not acceptable for academic writing.  </w:t>
      </w:r>
      <w:r w:rsidRPr="0099597A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99597A">
        <w:rPr>
          <w:rFonts w:ascii="Verdana" w:eastAsia="Times New Roman" w:hAnsi="Verdana" w:cs="Tahoma"/>
          <w:color w:val="111111"/>
          <w:sz w:val="21"/>
          <w:szCs w:val="21"/>
        </w:rPr>
        <w:lastRenderedPageBreak/>
        <w:br/>
      </w:r>
    </w:p>
    <w:p w:rsidR="0099597A" w:rsidRPr="0099597A" w:rsidRDefault="0099597A" w:rsidP="0099597A">
      <w:pPr>
        <w:shd w:val="clear" w:color="auto" w:fill="FFFFFF"/>
        <w:spacing w:before="100" w:beforeAutospacing="1" w:after="240" w:line="336" w:lineRule="auto"/>
        <w:ind w:left="2880" w:right="-270"/>
        <w:jc w:val="left"/>
        <w:rPr>
          <w:rFonts w:ascii="Verdana" w:eastAsia="Times New Roman" w:hAnsi="Verdana" w:cs="Tahoma"/>
          <w:color w:val="111111"/>
          <w:sz w:val="21"/>
          <w:szCs w:val="21"/>
        </w:rPr>
      </w:pPr>
      <w:r w:rsidRPr="0099597A">
        <w:rPr>
          <w:rFonts w:ascii="Verdana" w:eastAsia="Times New Roman" w:hAnsi="Verdana" w:cs="Tahoma"/>
          <w:color w:val="111111"/>
          <w:sz w:val="21"/>
          <w:szCs w:val="21"/>
        </w:rPr>
        <w:t> </w:t>
      </w:r>
    </w:p>
    <w:p w:rsidR="00613314" w:rsidRDefault="00613314" w:rsidP="0099597A">
      <w:pPr>
        <w:jc w:val="left"/>
      </w:pPr>
    </w:p>
    <w:sectPr w:rsidR="0061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53CC"/>
    <w:multiLevelType w:val="multilevel"/>
    <w:tmpl w:val="FEF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7A"/>
    <w:rsid w:val="00613314"/>
    <w:rsid w:val="009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40517">
      <w:bodyDiv w:val="1"/>
      <w:marLeft w:val="0"/>
      <w:marRight w:val="0"/>
      <w:marTop w:val="0"/>
      <w:marBottom w:val="0"/>
      <w:divBdr>
        <w:top w:val="single" w:sz="6" w:space="0" w:color="EFEDE3"/>
        <w:left w:val="none" w:sz="0" w:space="0" w:color="auto"/>
        <w:bottom w:val="none" w:sz="0" w:space="0" w:color="auto"/>
        <w:right w:val="none" w:sz="0" w:space="0" w:color="auto"/>
      </w:divBdr>
      <w:divsChild>
        <w:div w:id="870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39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08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6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704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0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8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23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FEDE3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02738">
      <w:bodyDiv w:val="1"/>
      <w:marLeft w:val="0"/>
      <w:marRight w:val="0"/>
      <w:marTop w:val="0"/>
      <w:marBottom w:val="0"/>
      <w:divBdr>
        <w:top w:val="single" w:sz="6" w:space="0" w:color="EFEDE3"/>
        <w:left w:val="none" w:sz="0" w:space="0" w:color="auto"/>
        <w:bottom w:val="none" w:sz="0" w:space="0" w:color="auto"/>
        <w:right w:val="none" w:sz="0" w:space="0" w:color="auto"/>
      </w:divBdr>
      <w:divsChild>
        <w:div w:id="5733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13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644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981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2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8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84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8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15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FEDE3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1524">
      <w:bodyDiv w:val="1"/>
      <w:marLeft w:val="0"/>
      <w:marRight w:val="0"/>
      <w:marTop w:val="0"/>
      <w:marBottom w:val="0"/>
      <w:divBdr>
        <w:top w:val="single" w:sz="6" w:space="0" w:color="EFEDE3"/>
        <w:left w:val="none" w:sz="0" w:space="0" w:color="auto"/>
        <w:bottom w:val="none" w:sz="0" w:space="0" w:color="auto"/>
        <w:right w:val="none" w:sz="0" w:space="0" w:color="auto"/>
      </w:divBdr>
      <w:divsChild>
        <w:div w:id="1678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2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40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5618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0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6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0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7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FEDE3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227</Words>
  <Characters>1296</Characters>
  <Application/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Workplace Shifts</vt:lpstr>
    </vt:vector>
  </TitlesOfParts>
  <Company/>
  <LinksUpToDate>false</LinksUpToDate>
  <CharactersWithSpaces>1520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