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07" w:rsidRPr="00F46307" w:rsidRDefault="00F46307" w:rsidP="00F46307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46307">
        <w:rPr>
          <w:rFonts w:ascii="Arial" w:eastAsia="Times New Roman" w:hAnsi="Arial" w:cs="Arial"/>
          <w:b/>
          <w:bCs/>
          <w:color w:val="000000"/>
          <w:sz w:val="18"/>
        </w:rPr>
        <w:t>Classified Balance Sheets  </w:t>
      </w:r>
    </w:p>
    <w:p w:rsidR="00F46307" w:rsidRPr="00F46307" w:rsidRDefault="00F46307" w:rsidP="00F46307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46307">
        <w:rPr>
          <w:rFonts w:ascii="Arial" w:eastAsia="Times New Roman" w:hAnsi="Arial" w:cs="Arial"/>
          <w:color w:val="000000"/>
          <w:sz w:val="18"/>
          <w:szCs w:val="18"/>
        </w:rPr>
        <w:t xml:space="preserve">The following (given in scrambled order) are accounts and balances from the accounting records of </w:t>
      </w:r>
      <w:proofErr w:type="spellStart"/>
      <w:r w:rsidRPr="00F46307">
        <w:rPr>
          <w:rFonts w:ascii="Arial" w:eastAsia="Times New Roman" w:hAnsi="Arial" w:cs="Arial"/>
          <w:color w:val="000000"/>
          <w:sz w:val="18"/>
          <w:szCs w:val="18"/>
        </w:rPr>
        <w:t>Alleg</w:t>
      </w:r>
      <w:proofErr w:type="spellEnd"/>
      <w:r w:rsidRPr="00F46307">
        <w:rPr>
          <w:rFonts w:ascii="Arial" w:eastAsia="Times New Roman" w:hAnsi="Arial" w:cs="Arial"/>
          <w:color w:val="000000"/>
          <w:sz w:val="18"/>
          <w:szCs w:val="18"/>
        </w:rPr>
        <w:t>, Inc., as of December 31, 2012, after the books were closed for the year. </w:t>
      </w:r>
    </w:p>
    <w:tbl>
      <w:tblPr>
        <w:tblW w:w="9060" w:type="dxa"/>
        <w:jc w:val="center"/>
        <w:tblCellMar>
          <w:left w:w="0" w:type="dxa"/>
          <w:right w:w="0" w:type="dxa"/>
        </w:tblCellMar>
        <w:tblLook w:val="04A0"/>
      </w:tblPr>
      <w:tblGrid>
        <w:gridCol w:w="7429"/>
        <w:gridCol w:w="1631"/>
      </w:tblGrid>
      <w:tr w:rsidR="00F46307" w:rsidRPr="00F46307" w:rsidTr="00F46307">
        <w:trPr>
          <w:jc w:val="center"/>
        </w:trPr>
        <w:tc>
          <w:tcPr>
            <w:tcW w:w="4100" w:type="pct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Common stock, authorized 21,000 share </w:t>
            </w: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At $1 par value, issued 12,000 shares</w:t>
            </w:r>
          </w:p>
        </w:tc>
        <w:tc>
          <w:tcPr>
            <w:tcW w:w="900" w:type="pct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$12,000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paid-in capital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38,000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14,000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Marketable securities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17,000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receivable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26,000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Payable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16,000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Current maturities of long-term debt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11,000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Mortgages payable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80,000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Bonds payable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65,000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Inventory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33,000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Land and buildings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57,000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Machinery and equipment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120,000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Goodwill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13,000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Patents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   9,000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45,000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Deferred income taxes (long-term liability)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18,000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Retained earnings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33,000</w:t>
            </w:r>
          </w:p>
        </w:tc>
      </w:tr>
      <w:tr w:rsidR="00F46307" w:rsidRPr="00F46307" w:rsidTr="00F46307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Accumulated depreciation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46307" w:rsidRPr="00F46307" w:rsidRDefault="00F46307" w:rsidP="00F4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07">
              <w:rPr>
                <w:rFonts w:ascii="Times New Roman" w:eastAsia="Times New Roman" w:hAnsi="Times New Roman" w:cs="Times New Roman"/>
                <w:sz w:val="24"/>
                <w:szCs w:val="24"/>
              </w:rPr>
              <w:t>  61,000</w:t>
            </w:r>
          </w:p>
        </w:tc>
      </w:tr>
    </w:tbl>
    <w:p w:rsidR="00F46307" w:rsidRPr="00F46307" w:rsidRDefault="00F46307" w:rsidP="00F46307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46307">
        <w:rPr>
          <w:rFonts w:ascii="Arial" w:eastAsia="Times New Roman" w:hAnsi="Arial" w:cs="Arial"/>
          <w:color w:val="000000"/>
          <w:sz w:val="18"/>
          <w:szCs w:val="18"/>
        </w:rPr>
        <w:t>Bonds and mortgages generally have 10-30 years until maturity. Marketable securities are short-term investments that can be converted to cash in a matter of minutes. </w:t>
      </w:r>
    </w:p>
    <w:p w:rsidR="00F46307" w:rsidRDefault="00F46307" w:rsidP="00F46307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46307">
        <w:rPr>
          <w:rFonts w:ascii="Arial" w:eastAsia="Times New Roman" w:hAnsi="Arial" w:cs="Arial"/>
          <w:color w:val="000000"/>
          <w:sz w:val="18"/>
          <w:szCs w:val="18"/>
        </w:rPr>
        <w:t>Required: </w:t>
      </w:r>
    </w:p>
    <w:p w:rsidR="00F46307" w:rsidRPr="00F46307" w:rsidRDefault="00F46307" w:rsidP="00F46307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F46307" w:rsidRPr="00F46307" w:rsidRDefault="00F46307" w:rsidP="00F46307">
      <w:pPr>
        <w:numPr>
          <w:ilvl w:val="0"/>
          <w:numId w:val="1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46307">
        <w:rPr>
          <w:rFonts w:ascii="Arial" w:eastAsia="Times New Roman" w:hAnsi="Arial" w:cs="Arial"/>
          <w:color w:val="000000" w:themeColor="text1"/>
          <w:sz w:val="24"/>
          <w:szCs w:val="24"/>
        </w:rPr>
        <w:t>Prepare a classified balance sheet with a proper heading on a spreadsheet. For assets, use the classifications of current assets, plant and equipment, intangibles, and other assets. For liabilities, use the classifications of current liabilities and long-term liabilities.</w:t>
      </w:r>
    </w:p>
    <w:p w:rsidR="00F46307" w:rsidRPr="00F46307" w:rsidRDefault="00F46307" w:rsidP="00F46307">
      <w:pPr>
        <w:numPr>
          <w:ilvl w:val="0"/>
          <w:numId w:val="1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46307">
        <w:rPr>
          <w:rFonts w:ascii="Arial" w:eastAsia="Times New Roman" w:hAnsi="Arial" w:cs="Arial"/>
          <w:color w:val="000000" w:themeColor="text1"/>
          <w:sz w:val="24"/>
          <w:szCs w:val="24"/>
        </w:rPr>
        <w:t>Compute the total asset turnover rate assuming that total revenues in 2012 were $682,500. Round to the nearest hundredth, e.g. 3.33.</w:t>
      </w:r>
    </w:p>
    <w:p w:rsidR="00F46307" w:rsidRPr="00F46307" w:rsidRDefault="00F46307" w:rsidP="00F46307">
      <w:pPr>
        <w:numPr>
          <w:ilvl w:val="0"/>
          <w:numId w:val="1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463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Assume that </w:t>
      </w:r>
      <w:proofErr w:type="spellStart"/>
      <w:r w:rsidRPr="00F46307">
        <w:rPr>
          <w:rFonts w:ascii="Arial" w:eastAsia="Times New Roman" w:hAnsi="Arial" w:cs="Arial"/>
          <w:color w:val="000000" w:themeColor="text1"/>
          <w:sz w:val="24"/>
          <w:szCs w:val="24"/>
        </w:rPr>
        <w:t>Alleg’s</w:t>
      </w:r>
      <w:proofErr w:type="spellEnd"/>
      <w:r w:rsidRPr="00F463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primary competitor has an asset turnover of 2.12. What does this tell you about </w:t>
      </w:r>
      <w:proofErr w:type="spellStart"/>
      <w:r w:rsidRPr="00F46307">
        <w:rPr>
          <w:rFonts w:ascii="Arial" w:eastAsia="Times New Roman" w:hAnsi="Arial" w:cs="Arial"/>
          <w:color w:val="000000" w:themeColor="text1"/>
          <w:sz w:val="24"/>
          <w:szCs w:val="24"/>
        </w:rPr>
        <w:t>Alleg’s</w:t>
      </w:r>
      <w:proofErr w:type="spellEnd"/>
      <w:r w:rsidRPr="00F463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management?</w:t>
      </w:r>
    </w:p>
    <w:p w:rsidR="00CF03E6" w:rsidRDefault="00CF03E6"/>
    <w:sectPr w:rsidR="00CF03E6" w:rsidSect="00CF0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24E5"/>
    <w:multiLevelType w:val="multilevel"/>
    <w:tmpl w:val="38AA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307"/>
    <w:rsid w:val="00CF03E6"/>
    <w:rsid w:val="00F4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6307"/>
    <w:rPr>
      <w:b/>
      <w:bCs/>
    </w:rPr>
  </w:style>
  <w:style w:type="character" w:customStyle="1" w:styleId="apple-converted-space">
    <w:name w:val="apple-converted-space"/>
    <w:basedOn w:val="DefaultParagraphFont"/>
    <w:rsid w:val="00F46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</dc:creator>
  <cp:lastModifiedBy>Rizwan</cp:lastModifiedBy>
  <cp:revision>1</cp:revision>
  <dcterms:created xsi:type="dcterms:W3CDTF">2016-07-09T08:06:00Z</dcterms:created>
  <dcterms:modified xsi:type="dcterms:W3CDTF">2016-07-09T08:07:00Z</dcterms:modified>
</cp:coreProperties>
</file>