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06" w:rsidRDefault="00F54949">
      <w:pPr>
        <w:pStyle w:val="Title"/>
      </w:pPr>
      <w:sdt>
        <w:sdtPr>
          <w:alias w:val="Title"/>
          <w:tag w:val=""/>
          <w:id w:val="726351117"/>
          <w:placeholder>
            <w:docPart w:val="8044DFBAD4DD46DCBED89C94FEFA2A6C"/>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C1728">
            <w:t>Domestic Surveillance</w:t>
          </w:r>
        </w:sdtContent>
      </w:sdt>
    </w:p>
    <w:p w:rsidR="00045B06" w:rsidRDefault="0054716F">
      <w:pPr>
        <w:pStyle w:val="Title2"/>
      </w:pPr>
      <w:r>
        <w:t xml:space="preserve">Brittany N. Weldon </w:t>
      </w:r>
    </w:p>
    <w:p w:rsidR="00D66607" w:rsidRDefault="0054716F">
      <w:pPr>
        <w:pStyle w:val="Title2"/>
      </w:pPr>
      <w:r>
        <w:t>SOC 120</w:t>
      </w:r>
      <w:r w:rsidR="00D66607">
        <w:t>: Introduction to Ethics and Social Responsibility</w:t>
      </w:r>
    </w:p>
    <w:p w:rsidR="00D66607" w:rsidRDefault="00D66607">
      <w:pPr>
        <w:pStyle w:val="Title2"/>
      </w:pPr>
      <w:r>
        <w:t xml:space="preserve">Instructor: Michael Aquino </w:t>
      </w:r>
    </w:p>
    <w:p w:rsidR="00D66607" w:rsidRDefault="00D66607">
      <w:pPr>
        <w:pStyle w:val="Title2"/>
      </w:pPr>
      <w:r>
        <w:t>08/16/2016</w:t>
      </w:r>
    </w:p>
    <w:p w:rsidR="00045B06" w:rsidRDefault="00D66607">
      <w:pPr>
        <w:pStyle w:val="Title2"/>
      </w:pPr>
      <w:r>
        <w:t xml:space="preserve"> </w:t>
      </w:r>
    </w:p>
    <w:p w:rsidR="00045B06" w:rsidRDefault="00045B06" w:rsidP="00D95138">
      <w:pPr>
        <w:pStyle w:val="Title"/>
        <w:jc w:val="left"/>
      </w:pPr>
    </w:p>
    <w:p w:rsidR="00045B06" w:rsidRPr="00D66607" w:rsidRDefault="00045B06" w:rsidP="00D66607">
      <w:pPr>
        <w:ind w:firstLine="0"/>
      </w:pPr>
    </w:p>
    <w:p w:rsidR="00045B06" w:rsidRDefault="00F54949">
      <w:pPr>
        <w:pStyle w:val="SectionTitle"/>
      </w:pPr>
      <w:sdt>
        <w:sdtPr>
          <w:alias w:val="Title"/>
          <w:tag w:val=""/>
          <w:id w:val="984196707"/>
          <w:placeholder>
            <w:docPart w:val="8044DFBAD4DD46DCBED89C94FEFA2A6C"/>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C1728">
            <w:t>Domestic Surveillance</w:t>
          </w:r>
        </w:sdtContent>
      </w:sdt>
    </w:p>
    <w:p w:rsidR="00045B06" w:rsidRDefault="00045B06"/>
    <w:p w:rsidR="00045B06" w:rsidRDefault="0054716F">
      <w:pPr>
        <w:pStyle w:val="Heading1"/>
      </w:pPr>
      <w:r>
        <w:t>Introduction</w:t>
      </w:r>
    </w:p>
    <w:p w:rsidR="00045B06" w:rsidRPr="009C1728" w:rsidRDefault="0054716F">
      <w:pPr>
        <w:rPr>
          <w:color w:val="FF0000"/>
        </w:rPr>
      </w:pPr>
      <w:r w:rsidRPr="0054716F">
        <w:t>"</w:t>
      </w:r>
      <w:r>
        <w:t xml:space="preserve">Big brother is watching you." </w:t>
      </w:r>
      <w:sdt>
        <w:sdtPr>
          <w:id w:val="-1534884500"/>
          <w:citation/>
        </w:sdtPr>
        <w:sdtEndPr/>
        <w:sdtContent>
          <w:r w:rsidR="00605A9F">
            <w:fldChar w:fldCharType="begin"/>
          </w:r>
          <w:r w:rsidR="00605A9F">
            <w:instrText xml:space="preserve"> CITATION Orw49 \l 1033 </w:instrText>
          </w:r>
          <w:r w:rsidR="00605A9F">
            <w:fldChar w:fldCharType="separate"/>
          </w:r>
          <w:r w:rsidR="00605A9F">
            <w:rPr>
              <w:noProof/>
            </w:rPr>
            <w:t>(Orwell, 1949)</w:t>
          </w:r>
          <w:r w:rsidR="00605A9F">
            <w:fldChar w:fldCharType="end"/>
          </w:r>
        </w:sdtContent>
      </w:sdt>
      <w:r w:rsidR="00605A9F">
        <w:t xml:space="preserve">. </w:t>
      </w:r>
      <w:r w:rsidRPr="0054716F">
        <w:t>This quote by George Orwell can be used as a symbolic meaning to portray domestic surveillance by the government, the government being Big Brother. The emergence of domestic surveillance by the government there has been ethical issues arise as well</w:t>
      </w:r>
      <w:r w:rsidRPr="009C1728">
        <w:rPr>
          <w:color w:val="FF0000"/>
        </w:rPr>
        <w:t>. Even though it may seem the government is infringing on one's right to privacy, surveillance is needed to keep this nation safe, as long as government does not overreach their boundaries.</w:t>
      </w:r>
      <w:bookmarkStart w:id="0" w:name="_GoBack"/>
      <w:bookmarkEnd w:id="0"/>
    </w:p>
    <w:p w:rsidR="00045B06" w:rsidRDefault="0054716F">
      <w:pPr>
        <w:pStyle w:val="Heading2"/>
      </w:pPr>
      <w:r>
        <w:t>Definition and Orgin</w:t>
      </w:r>
      <w:r w:rsidR="005E353B">
        <w:rPr>
          <w:rStyle w:val="FootnoteReference"/>
        </w:rPr>
        <w:t>1</w:t>
      </w:r>
    </w:p>
    <w:p w:rsidR="00045B06" w:rsidRDefault="0054716F" w:rsidP="0054716F">
      <w:pPr>
        <w:pStyle w:val="NoSpacing"/>
        <w:ind w:firstLine="720"/>
      </w:pPr>
      <w:r w:rsidRPr="0054716F">
        <w:t>First we need to know the definition and origin of domestic surveillance in order to gain a better understanding of our topic. According to the Merriam-Webster dictionary domestic is defined as "relating to or made it your own country", surveillance is defined as "the act of carefully watching someone or something especially in order to prevent or detect a crime."</w:t>
      </w:r>
      <w:sdt>
        <w:sdtPr>
          <w:id w:val="1204671498"/>
          <w:citation/>
        </w:sdtPr>
        <w:sdtEndPr/>
        <w:sdtContent>
          <w:r w:rsidR="00605A9F">
            <w:fldChar w:fldCharType="begin"/>
          </w:r>
          <w:r w:rsidR="00605A9F">
            <w:instrText xml:space="preserve"> CITATION Mer15 \l 1033 </w:instrText>
          </w:r>
          <w:r w:rsidR="00605A9F">
            <w:fldChar w:fldCharType="separate"/>
          </w:r>
          <w:r w:rsidR="00605A9F">
            <w:rPr>
              <w:noProof/>
            </w:rPr>
            <w:t xml:space="preserve"> (Merriam-Webster dictionary, 2015)</w:t>
          </w:r>
          <w:r w:rsidR="00605A9F">
            <w:fldChar w:fldCharType="end"/>
          </w:r>
        </w:sdtContent>
      </w:sdt>
      <w:r w:rsidR="00605A9F">
        <w:t>.</w:t>
      </w:r>
      <w:r w:rsidRPr="0054716F">
        <w:t xml:space="preserve"> Therefore, one can say that domestic surveillance is carefully watching someone or everyone from our country. According to </w:t>
      </w:r>
      <w:proofErr w:type="spellStart"/>
      <w:r w:rsidRPr="0054716F">
        <w:t>Macnish</w:t>
      </w:r>
      <w:proofErr w:type="spellEnd"/>
      <w:r w:rsidRPr="0054716F">
        <w:t>, first significant reference to surveillance ethics in the modern period is Jeremy Bentham</w:t>
      </w:r>
      <w:r>
        <w:t>’</w:t>
      </w:r>
      <w:r w:rsidRPr="0054716F">
        <w:t xml:space="preserve">s idea of </w:t>
      </w:r>
      <w:proofErr w:type="spellStart"/>
      <w:r w:rsidRPr="0054716F">
        <w:t>Panopticon</w:t>
      </w:r>
      <w:proofErr w:type="spellEnd"/>
      <w:r w:rsidRPr="0054716F">
        <w:t xml:space="preserve">. "The </w:t>
      </w:r>
      <w:proofErr w:type="spellStart"/>
      <w:r w:rsidRPr="0054716F">
        <w:t>Panopticon</w:t>
      </w:r>
      <w:proofErr w:type="spellEnd"/>
      <w:r w:rsidRPr="0054716F">
        <w:t xml:space="preserve"> was to be a prison compromising circular building with the cells adjacent to the outside walls. In the Center was a tower which the prison's supervisor would </w:t>
      </w:r>
      <w:r>
        <w:t>live and monitor the inmates."</w:t>
      </w:r>
      <w:sdt>
        <w:sdtPr>
          <w:id w:val="396789081"/>
          <w:citation/>
        </w:sdtPr>
        <w:sdtEndPr/>
        <w:sdtContent>
          <w:r w:rsidR="00605A9F">
            <w:fldChar w:fldCharType="begin"/>
          </w:r>
          <w:r w:rsidR="00605A9F">
            <w:instrText xml:space="preserve"> CITATION Mac \l 1033 </w:instrText>
          </w:r>
          <w:r w:rsidR="00605A9F">
            <w:fldChar w:fldCharType="separate"/>
          </w:r>
          <w:r w:rsidR="00605A9F">
            <w:rPr>
              <w:noProof/>
            </w:rPr>
            <w:t xml:space="preserve"> (Macnish, Surveillance Ethics, n.d.)</w:t>
          </w:r>
          <w:r w:rsidR="00605A9F">
            <w:fldChar w:fldCharType="end"/>
          </w:r>
        </w:sdtContent>
      </w:sdt>
      <w:r w:rsidRPr="0054716F">
        <w:t xml:space="preserve"> It was believed that this would cause the inmates to become self-disciplined. George Orwell’s book, 1984, was an extension to "the </w:t>
      </w:r>
      <w:proofErr w:type="spellStart"/>
      <w:r w:rsidRPr="0054716F">
        <w:t>Panopticon</w:t>
      </w:r>
      <w:proofErr w:type="spellEnd"/>
      <w:r w:rsidRPr="0054716F">
        <w:t xml:space="preserve"> to encompass the whole of society, or at least the middle classes</w:t>
      </w:r>
      <w:r>
        <w:t>."</w:t>
      </w:r>
      <w:r w:rsidR="00605A9F">
        <w:rPr>
          <w:noProof/>
        </w:rPr>
        <w:t xml:space="preserve"> (Orwell, 2004 as cited by Macnish, Surveillance Ethics, n.d.)</w:t>
      </w:r>
    </w:p>
    <w:p w:rsidR="00045B06" w:rsidRDefault="0054716F" w:rsidP="0054716F">
      <w:pPr>
        <w:rPr>
          <w:b/>
          <w:bCs/>
        </w:rPr>
      </w:pPr>
      <w:r>
        <w:rPr>
          <w:rStyle w:val="Heading3Char"/>
        </w:rPr>
        <w:lastRenderedPageBreak/>
        <w:t>Ethical issues</w:t>
      </w:r>
      <w:r w:rsidR="005E353B">
        <w:rPr>
          <w:rStyle w:val="Heading3Char"/>
        </w:rPr>
        <w:t xml:space="preserve">. </w:t>
      </w:r>
      <w:r>
        <w:t xml:space="preserve">Now poses the question of domestic surveillance being ethical or unethical. </w:t>
      </w:r>
      <w:proofErr w:type="spellStart"/>
      <w:r>
        <w:t>Macnish</w:t>
      </w:r>
      <w:proofErr w:type="spellEnd"/>
      <w:r>
        <w:t xml:space="preserve"> states that "surveillance is itself an ethically neutral concept."</w:t>
      </w:r>
      <w:sdt>
        <w:sdtPr>
          <w:id w:val="-1140734765"/>
          <w:citation/>
        </w:sdtPr>
        <w:sdtEndPr/>
        <w:sdtContent>
          <w:r w:rsidR="00605A9F">
            <w:fldChar w:fldCharType="begin"/>
          </w:r>
          <w:r w:rsidR="00605A9F">
            <w:instrText xml:space="preserve"> CITATION Mac \l 1033 </w:instrText>
          </w:r>
          <w:r w:rsidR="00605A9F">
            <w:fldChar w:fldCharType="separate"/>
          </w:r>
          <w:r w:rsidR="00605A9F">
            <w:rPr>
              <w:noProof/>
            </w:rPr>
            <w:t xml:space="preserve"> (Macnish, Surveillance Ethics, n.d.)</w:t>
          </w:r>
          <w:r w:rsidR="00605A9F">
            <w:fldChar w:fldCharType="end"/>
          </w:r>
        </w:sdtContent>
      </w:sdt>
      <w:r>
        <w:t xml:space="preserve"> </w:t>
      </w:r>
      <w:r w:rsidR="00D66607">
        <w:t>T</w:t>
      </w:r>
      <w:r>
        <w:t>he way surveillance is unethical as if there was no Justified cause to do the surveillance. One of the major ethical issues that has arrived with the emergence of domestic surveillance is the right to privacy. The National Security Agency (NSA) rejects the idea of surveillance being an infringement on the right t</w:t>
      </w:r>
      <w:r w:rsidR="00D66607">
        <w:t>o privacy. The NSA Claims to only be</w:t>
      </w:r>
      <w:r>
        <w:t xml:space="preserve"> protecting the na</w:t>
      </w:r>
      <w:r w:rsidR="00D66607">
        <w:t>tion using</w:t>
      </w:r>
      <w:r>
        <w:t>.</w:t>
      </w:r>
    </w:p>
    <w:p w:rsidR="00045B06" w:rsidRDefault="00683404">
      <w:pPr>
        <w:rPr>
          <w:b/>
          <w:bCs/>
        </w:rPr>
      </w:pPr>
      <w:r>
        <w:rPr>
          <w:rStyle w:val="Heading4Char"/>
        </w:rPr>
        <w:t>Breaches of Ethical behavior</w:t>
      </w:r>
      <w:r w:rsidR="00605A9F">
        <w:rPr>
          <w:rStyle w:val="Heading4Char"/>
        </w:rPr>
        <w:t xml:space="preserve">. </w:t>
      </w:r>
      <w:r w:rsidR="00605A9F">
        <w:rPr>
          <w:rStyle w:val="Heading4Char"/>
          <w:b w:val="0"/>
          <w:i w:val="0"/>
        </w:rPr>
        <w:t>In this section I will explain the breaches of ethical behavior and use examples from resources.</w:t>
      </w:r>
      <w:r w:rsidR="005E353B">
        <w:t xml:space="preserve">  </w:t>
      </w:r>
    </w:p>
    <w:p w:rsidR="00045B06" w:rsidRDefault="00683404">
      <w:r>
        <w:rPr>
          <w:rStyle w:val="Heading5Char"/>
        </w:rPr>
        <w:t xml:space="preserve">Applying </w:t>
      </w:r>
      <w:r w:rsidR="00D95138">
        <w:rPr>
          <w:rStyle w:val="Heading5Char"/>
        </w:rPr>
        <w:t>the theories</w:t>
      </w:r>
      <w:r>
        <w:rPr>
          <w:rStyle w:val="Heading5Char"/>
        </w:rPr>
        <w:t xml:space="preserve"> and perspectives</w:t>
      </w:r>
      <w:r w:rsidR="005E353B">
        <w:rPr>
          <w:rStyle w:val="Heading5Char"/>
        </w:rPr>
        <w:t xml:space="preserve">. </w:t>
      </w:r>
      <w:r w:rsidR="00605A9F">
        <w:t>Here I will go through and apply the 2 theories of deontology and utilitarianism the perspective of ethical relativism.</w:t>
      </w:r>
    </w:p>
    <w:p w:rsidR="00605A9F" w:rsidRDefault="00605A9F" w:rsidP="00605A9F"/>
    <w:p w:rsidR="00683404" w:rsidRDefault="00683404"/>
    <w:p w:rsidR="00045B06" w:rsidRDefault="00045B06" w:rsidP="00D95138"/>
    <w:p w:rsidR="00D95138" w:rsidRDefault="00D95138" w:rsidP="00D95138"/>
    <w:p w:rsidR="00045B06" w:rsidRDefault="00045B06" w:rsidP="00D95138">
      <w:pPr>
        <w:pStyle w:val="SectionTitle"/>
        <w:jc w:val="left"/>
      </w:pPr>
    </w:p>
    <w:sdt>
      <w:sdtPr>
        <w:rPr>
          <w:rFonts w:asciiTheme="minorHAnsi" w:eastAsiaTheme="minorEastAsia" w:hAnsiTheme="minorHAnsi" w:cstheme="minorBidi"/>
          <w:b w:val="0"/>
          <w:bCs w:val="0"/>
        </w:rPr>
        <w:id w:val="-1073887866"/>
        <w:docPartObj>
          <w:docPartGallery w:val="Bibliographies"/>
          <w:docPartUnique/>
        </w:docPartObj>
      </w:sdtPr>
      <w:sdtEndPr/>
      <w:sdtContent>
        <w:p w:rsidR="00605A9F" w:rsidRDefault="00605A9F">
          <w:pPr>
            <w:pStyle w:val="Heading1"/>
          </w:pPr>
          <w:r>
            <w:t>References</w:t>
          </w:r>
        </w:p>
        <w:sdt>
          <w:sdtPr>
            <w:id w:val="-573587230"/>
            <w:bibliography/>
          </w:sdtPr>
          <w:sdtEndPr/>
          <w:sdtContent>
            <w:p w:rsidR="00605A9F" w:rsidRDefault="00605A9F" w:rsidP="00605A9F">
              <w:pPr>
                <w:pStyle w:val="Bibliography"/>
                <w:rPr>
                  <w:noProof/>
                </w:rPr>
              </w:pPr>
              <w:r>
                <w:fldChar w:fldCharType="begin"/>
              </w:r>
              <w:r>
                <w:instrText xml:space="preserve"> BIBLIOGRAPHY </w:instrText>
              </w:r>
              <w:r>
                <w:fldChar w:fldCharType="separate"/>
              </w:r>
              <w:r>
                <w:rPr>
                  <w:noProof/>
                </w:rPr>
                <w:t xml:space="preserve">Desai, D. R. (2014). Constitutional limits on surveillance: associational freedom in the age of data hoarding. </w:t>
              </w:r>
              <w:r>
                <w:rPr>
                  <w:i/>
                  <w:iCs/>
                  <w:noProof/>
                </w:rPr>
                <w:t>Notre Dame Law Review, 90</w:t>
              </w:r>
              <w:r>
                <w:rPr>
                  <w:noProof/>
                </w:rPr>
                <w:t>(2). Retrieved from http://bi.galegroup.com.proxy-library.ashford.edu/global/article/GALE%7CA404446320/50788df513c3e9ce6f6a4a907fae6de7?u=ashford</w:t>
              </w:r>
            </w:p>
            <w:p w:rsidR="00605A9F" w:rsidRDefault="00605A9F" w:rsidP="00605A9F">
              <w:pPr>
                <w:pStyle w:val="Bibliography"/>
                <w:rPr>
                  <w:noProof/>
                </w:rPr>
              </w:pPr>
              <w:r>
                <w:rPr>
                  <w:noProof/>
                </w:rPr>
                <w:t xml:space="preserve">Macnish, K. (2015). An Eye for an Eye: Proportionality and Surveillance. </w:t>
              </w:r>
              <w:r>
                <w:rPr>
                  <w:i/>
                  <w:iCs/>
                  <w:noProof/>
                </w:rPr>
                <w:t>Ethical Theory &amp; Moral Practice</w:t>
              </w:r>
              <w:r>
                <w:rPr>
                  <w:noProof/>
                </w:rPr>
                <w:t>, 529-548. Retrieved from http://eds.b.ebscohost.com.proxy-library.ashford.edu/eds/pdfviewer/pdfviewer?sid=b8dbc481-d7cd-43ac-9639-a5801878b397%40sessionmgr101&amp;vid=5&amp;hid=122</w:t>
              </w:r>
            </w:p>
            <w:p w:rsidR="00605A9F" w:rsidRDefault="00605A9F" w:rsidP="00605A9F">
              <w:pPr>
                <w:pStyle w:val="Bibliography"/>
                <w:rPr>
                  <w:noProof/>
                </w:rPr>
              </w:pPr>
              <w:r>
                <w:rPr>
                  <w:noProof/>
                </w:rPr>
                <w:t xml:space="preserve">Macnish, K. (n.d.). </w:t>
              </w:r>
              <w:r>
                <w:rPr>
                  <w:i/>
                  <w:iCs/>
                  <w:noProof/>
                </w:rPr>
                <w:t>Surveillance Ethics</w:t>
              </w:r>
              <w:r>
                <w:rPr>
                  <w:noProof/>
                </w:rPr>
                <w:t>. Retrieved from Internet Encyclopedia of Philosophy and its Authors: http://www.iep.utm.edu/surv-eth/</w:t>
              </w:r>
            </w:p>
            <w:p w:rsidR="00605A9F" w:rsidRDefault="00605A9F" w:rsidP="00605A9F">
              <w:pPr>
                <w:pStyle w:val="Bibliography"/>
                <w:rPr>
                  <w:noProof/>
                </w:rPr>
              </w:pPr>
              <w:r>
                <w:rPr>
                  <w:i/>
                  <w:iCs/>
                  <w:noProof/>
                </w:rPr>
                <w:t>Merriam-Webster dictionary</w:t>
              </w:r>
              <w:r>
                <w:rPr>
                  <w:noProof/>
                </w:rPr>
                <w:t>. (2015). Retrieved from Merriam-Webster: http://www.merriam-webster.com/dictionary/surveillance and http://www.merriam-webster.com/dictionary/domestic</w:t>
              </w:r>
            </w:p>
            <w:p w:rsidR="00605A9F" w:rsidRDefault="00605A9F" w:rsidP="00605A9F">
              <w:pPr>
                <w:pStyle w:val="Bibliography"/>
                <w:rPr>
                  <w:noProof/>
                </w:rPr>
              </w:pPr>
              <w:r>
                <w:rPr>
                  <w:noProof/>
                </w:rPr>
                <w:t xml:space="preserve">Orwell, G. (1949). </w:t>
              </w:r>
              <w:r>
                <w:rPr>
                  <w:i/>
                  <w:iCs/>
                  <w:noProof/>
                </w:rPr>
                <w:t>1984.</w:t>
              </w:r>
              <w:r>
                <w:rPr>
                  <w:noProof/>
                </w:rPr>
                <w:t xml:space="preserve"> </w:t>
              </w:r>
            </w:p>
            <w:p w:rsidR="00605A9F" w:rsidRDefault="00605A9F" w:rsidP="00605A9F">
              <w:pPr>
                <w:pStyle w:val="Bibliography"/>
                <w:rPr>
                  <w:noProof/>
                </w:rPr>
              </w:pPr>
              <w:r>
                <w:rPr>
                  <w:noProof/>
                </w:rPr>
                <w:t xml:space="preserve">PETCU, R. (2015). GOVERNMENT SURVEILLANCE, NEOLIBERAL CITIZENSHIP,AND SOCIAL IDENTITY. </w:t>
              </w:r>
              <w:r>
                <w:rPr>
                  <w:i/>
                  <w:iCs/>
                  <w:noProof/>
                </w:rPr>
                <w:t>Review of Contemporary Philosophy</w:t>
              </w:r>
              <w:r>
                <w:rPr>
                  <w:noProof/>
                </w:rPr>
                <w:t>, 126-131. Retrieved from http://search.proquest.com.proxy-library.ashford.edu/docview/1711072542/fulltextPDF/D040172D7A4A472BPQ/1?accountid=32521</w:t>
              </w:r>
            </w:p>
            <w:p w:rsidR="00605A9F" w:rsidRDefault="00605A9F" w:rsidP="00605A9F">
              <w:pPr>
                <w:pStyle w:val="Bibliography"/>
                <w:rPr>
                  <w:noProof/>
                </w:rPr>
              </w:pPr>
              <w:r>
                <w:rPr>
                  <w:noProof/>
                </w:rPr>
                <w:lastRenderedPageBreak/>
                <w:t xml:space="preserve">Richards, N. M. (2013). The Dangers of Surveillance. </w:t>
              </w:r>
              <w:r>
                <w:rPr>
                  <w:i/>
                  <w:iCs/>
                  <w:noProof/>
                </w:rPr>
                <w:t>Harvard Law Review, 126</w:t>
              </w:r>
              <w:r>
                <w:rPr>
                  <w:noProof/>
                </w:rPr>
                <w:t>(7), 1934-1965. Retrieved from http://eds.b.ebscohost.com.proxy-library.ashford.edu/eds/pdfviewer/pdfviewer?sid=f966a953-72db-4935-a005-09615744682b%40sessionmgr107&amp;vid=5&amp;hid=122</w:t>
              </w:r>
            </w:p>
            <w:p w:rsidR="00605A9F" w:rsidRDefault="00605A9F" w:rsidP="00605A9F">
              <w:pPr>
                <w:pStyle w:val="Bibliography"/>
                <w:rPr>
                  <w:noProof/>
                </w:rPr>
              </w:pPr>
              <w:r>
                <w:rPr>
                  <w:noProof/>
                </w:rPr>
                <w:t xml:space="preserve">Sagar, R. (2015). Against Moral Absolutism: Surveillance and Disclosure After Snowden. </w:t>
              </w:r>
              <w:r>
                <w:rPr>
                  <w:i/>
                  <w:iCs/>
                  <w:noProof/>
                </w:rPr>
                <w:t>Ethics and International Affairs, 29</w:t>
              </w:r>
              <w:r>
                <w:rPr>
                  <w:noProof/>
                </w:rPr>
                <w:t>(2), 145-159. Retrieved from http://search.proquest.com.proxy-library.ashford.edu/docview/1687528900?accountid=32521</w:t>
              </w:r>
            </w:p>
            <w:p w:rsidR="00605A9F" w:rsidRDefault="00605A9F" w:rsidP="00605A9F">
              <w:r>
                <w:rPr>
                  <w:b/>
                  <w:bCs/>
                  <w:noProof/>
                </w:rPr>
                <w:fldChar w:fldCharType="end"/>
              </w:r>
            </w:p>
          </w:sdtContent>
        </w:sdt>
      </w:sdtContent>
    </w:sdt>
    <w:p w:rsidR="00045B06" w:rsidRDefault="00045B06">
      <w:pPr>
        <w:pStyle w:val="TableFigure"/>
      </w:pPr>
    </w:p>
    <w:p w:rsidR="00045B06" w:rsidRDefault="00045B06" w:rsidP="00D95138">
      <w:pPr>
        <w:pStyle w:val="SectionTitle"/>
        <w:jc w:val="left"/>
      </w:pPr>
    </w:p>
    <w:sectPr w:rsidR="00045B06">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949" w:rsidRDefault="00F54949">
      <w:pPr>
        <w:spacing w:line="240" w:lineRule="auto"/>
      </w:pPr>
      <w:r>
        <w:separator/>
      </w:r>
    </w:p>
  </w:endnote>
  <w:endnote w:type="continuationSeparator" w:id="0">
    <w:p w:rsidR="00F54949" w:rsidRDefault="00F54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949" w:rsidRDefault="00F54949">
      <w:pPr>
        <w:spacing w:line="240" w:lineRule="auto"/>
      </w:pPr>
      <w:r>
        <w:separator/>
      </w:r>
    </w:p>
  </w:footnote>
  <w:footnote w:type="continuationSeparator" w:id="0">
    <w:p w:rsidR="00F54949" w:rsidRDefault="00F54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06" w:rsidRDefault="00F54949">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66607">
          <w:rPr>
            <w:rStyle w:val="Strong"/>
          </w:rPr>
          <w:t>Domestic surveillance</w:t>
        </w:r>
      </w:sdtContent>
    </w:sdt>
    <w:r w:rsidR="005E353B">
      <w:rPr>
        <w:rStyle w:val="Strong"/>
      </w:rPr>
      <w:ptab w:relativeTo="margin" w:alignment="right" w:leader="none"/>
    </w:r>
    <w:r w:rsidR="005E353B">
      <w:rPr>
        <w:rStyle w:val="Strong"/>
      </w:rPr>
      <w:fldChar w:fldCharType="begin"/>
    </w:r>
    <w:r w:rsidR="005E353B">
      <w:rPr>
        <w:rStyle w:val="Strong"/>
      </w:rPr>
      <w:instrText xml:space="preserve"> PAGE   \* MERGEFORMAT </w:instrText>
    </w:r>
    <w:r w:rsidR="005E353B">
      <w:rPr>
        <w:rStyle w:val="Strong"/>
      </w:rPr>
      <w:fldChar w:fldCharType="separate"/>
    </w:r>
    <w:r w:rsidR="009C1728">
      <w:rPr>
        <w:rStyle w:val="Strong"/>
        <w:noProof/>
      </w:rPr>
      <w:t>2</w:t>
    </w:r>
    <w:r w:rsidR="005E353B">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06" w:rsidRDefault="005E353B">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66607">
          <w:rPr>
            <w:rStyle w:val="Strong"/>
          </w:rPr>
          <w:t>Domestic surveillance</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9C1728">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6F"/>
    <w:rsid w:val="00045B06"/>
    <w:rsid w:val="0054716F"/>
    <w:rsid w:val="005E353B"/>
    <w:rsid w:val="00605A9F"/>
    <w:rsid w:val="00683404"/>
    <w:rsid w:val="007C619E"/>
    <w:rsid w:val="009C1728"/>
    <w:rsid w:val="00D66607"/>
    <w:rsid w:val="00D95138"/>
    <w:rsid w:val="00F5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70C808-257F-4D40-9BB1-3E87BE0C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49562767">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7428705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89771281">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1185911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4418736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784716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97892379">
      <w:bodyDiv w:val="1"/>
      <w:marLeft w:val="0"/>
      <w:marRight w:val="0"/>
      <w:marTop w:val="0"/>
      <w:marBottom w:val="0"/>
      <w:divBdr>
        <w:top w:val="none" w:sz="0" w:space="0" w:color="auto"/>
        <w:left w:val="none" w:sz="0" w:space="0" w:color="auto"/>
        <w:bottom w:val="none" w:sz="0" w:space="0" w:color="auto"/>
        <w:right w:val="none" w:sz="0" w:space="0" w:color="auto"/>
      </w:divBdr>
    </w:div>
    <w:div w:id="1213036200">
      <w:bodyDiv w:val="1"/>
      <w:marLeft w:val="0"/>
      <w:marRight w:val="0"/>
      <w:marTop w:val="0"/>
      <w:marBottom w:val="0"/>
      <w:divBdr>
        <w:top w:val="none" w:sz="0" w:space="0" w:color="auto"/>
        <w:left w:val="none" w:sz="0" w:space="0" w:color="auto"/>
        <w:bottom w:val="none" w:sz="0" w:space="0" w:color="auto"/>
        <w:right w:val="none" w:sz="0" w:space="0" w:color="auto"/>
      </w:divBdr>
    </w:div>
    <w:div w:id="1261333221">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28826086">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86332311">
      <w:bodyDiv w:val="1"/>
      <w:marLeft w:val="0"/>
      <w:marRight w:val="0"/>
      <w:marTop w:val="0"/>
      <w:marBottom w:val="0"/>
      <w:divBdr>
        <w:top w:val="none" w:sz="0" w:space="0" w:color="auto"/>
        <w:left w:val="none" w:sz="0" w:space="0" w:color="auto"/>
        <w:bottom w:val="none" w:sz="0" w:space="0" w:color="auto"/>
        <w:right w:val="none" w:sz="0" w:space="0" w:color="auto"/>
      </w:divBdr>
    </w:div>
    <w:div w:id="196792846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72649834">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ny\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44DFBAD4DD46DCBED89C94FEFA2A6C"/>
        <w:category>
          <w:name w:val="General"/>
          <w:gallery w:val="placeholder"/>
        </w:category>
        <w:types>
          <w:type w:val="bbPlcHdr"/>
        </w:types>
        <w:behaviors>
          <w:behavior w:val="content"/>
        </w:behaviors>
        <w:guid w:val="{31CE79C3-3705-4660-934C-C2622B512C32}"/>
      </w:docPartPr>
      <w:docPartBody>
        <w:p w:rsidR="004758E5" w:rsidRDefault="00140035">
          <w:pPr>
            <w:pStyle w:val="8044DFBAD4DD46DCBED89C94FEFA2A6C"/>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35"/>
    <w:rsid w:val="00140035"/>
    <w:rsid w:val="004758E5"/>
    <w:rsid w:val="006C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4DFBAD4DD46DCBED89C94FEFA2A6C">
    <w:name w:val="8044DFBAD4DD46DCBED89C94FEFA2A6C"/>
  </w:style>
  <w:style w:type="paragraph" w:customStyle="1" w:styleId="4D16591B80D34654AB8A0ABC2E85BE73">
    <w:name w:val="4D16591B80D34654AB8A0ABC2E85BE73"/>
  </w:style>
  <w:style w:type="paragraph" w:customStyle="1" w:styleId="F061429A16BE44B18EFD26B24334B0EE">
    <w:name w:val="F061429A16BE44B18EFD26B24334B0EE"/>
  </w:style>
  <w:style w:type="paragraph" w:customStyle="1" w:styleId="F2297BD95C6B461E850B493C8AAFD4A7">
    <w:name w:val="F2297BD95C6B461E850B493C8AAFD4A7"/>
  </w:style>
  <w:style w:type="character" w:styleId="Emphasis">
    <w:name w:val="Emphasis"/>
    <w:basedOn w:val="DefaultParagraphFont"/>
    <w:uiPriority w:val="20"/>
    <w:unhideWhenUsed/>
    <w:qFormat/>
    <w:rPr>
      <w:i/>
      <w:iCs/>
    </w:rPr>
  </w:style>
  <w:style w:type="paragraph" w:customStyle="1" w:styleId="811015F2F85D4445B047DF060D4E674A">
    <w:name w:val="811015F2F85D4445B047DF060D4E674A"/>
  </w:style>
  <w:style w:type="paragraph" w:customStyle="1" w:styleId="C046B76E28344F19B994EBD05DE18DAB">
    <w:name w:val="C046B76E28344F19B994EBD05DE18DAB"/>
  </w:style>
  <w:style w:type="paragraph" w:customStyle="1" w:styleId="EFBA6CCF53494B09B103F98C58215694">
    <w:name w:val="EFBA6CCF53494B09B103F98C58215694"/>
  </w:style>
  <w:style w:type="paragraph" w:customStyle="1" w:styleId="E1C8955BD1864AF6B5B00CFF0F896350">
    <w:name w:val="E1C8955BD1864AF6B5B00CFF0F896350"/>
  </w:style>
  <w:style w:type="paragraph" w:customStyle="1" w:styleId="ED4F6486BA324281B99AEC32BFC10303">
    <w:name w:val="ED4F6486BA324281B99AEC32BFC10303"/>
  </w:style>
  <w:style w:type="paragraph" w:customStyle="1" w:styleId="6C3F404F22F24621A60527772ED2550C">
    <w:name w:val="6C3F404F22F24621A60527772ED2550C"/>
  </w:style>
  <w:style w:type="paragraph" w:customStyle="1" w:styleId="3900D2A2E6164FCCAE7FDB592DC8DF39">
    <w:name w:val="3900D2A2E6164FCCAE7FDB592DC8DF39"/>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0ECD1418925C42788DF88679F96659C0">
    <w:name w:val="0ECD1418925C42788DF88679F96659C0"/>
  </w:style>
  <w:style w:type="paragraph" w:customStyle="1" w:styleId="3DA4689A1DBF4B749D3910146917B592">
    <w:name w:val="3DA4689A1DBF4B749D3910146917B592"/>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0C9D7BE150404E65AA44024C41D55E66">
    <w:name w:val="0C9D7BE150404E65AA44024C41D55E66"/>
  </w:style>
  <w:style w:type="paragraph" w:customStyle="1" w:styleId="CAAB8F7DDDBC43769636B1AD94AE4261">
    <w:name w:val="CAAB8F7DDDBC43769636B1AD94AE4261"/>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02008434B6E74E34B14F5574763796CB">
    <w:name w:val="02008434B6E74E34B14F5574763796CB"/>
  </w:style>
  <w:style w:type="paragraph" w:customStyle="1" w:styleId="A9F94E797E6741C6B5B14220FC812CE6">
    <w:name w:val="A9F94E797E6741C6B5B14220FC812CE6"/>
  </w:style>
  <w:style w:type="paragraph" w:customStyle="1" w:styleId="9D240045C37841B5A4BFF7F81621F188">
    <w:name w:val="9D240045C37841B5A4BFF7F81621F188"/>
  </w:style>
  <w:style w:type="paragraph" w:customStyle="1" w:styleId="61EDCB9FEF244E589620191A163EBDCC">
    <w:name w:val="61EDCB9FEF244E589620191A163EBDCC"/>
  </w:style>
  <w:style w:type="paragraph" w:customStyle="1" w:styleId="B9B84A81B3FF4638A955D0D96AC8711B">
    <w:name w:val="B9B84A81B3FF4638A955D0D96AC8711B"/>
  </w:style>
  <w:style w:type="paragraph" w:customStyle="1" w:styleId="E5AF9EA3285C43A7985C97940D4598FB">
    <w:name w:val="E5AF9EA3285C43A7985C97940D459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Domestic surveillance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APASixthEditionOfficeOnline.xsl" StyleName="APA" Version="6">
  <b:Source>
    <b:Tag>Article</b:Tag>
    <b:SourceType>JournalArticle</b:SourceType>
    <b:Guid>{30AD1B6D-3509-45B0-AC48-AA1471227FAE}</b:Guid>
    <b:Title>An Eye for an Eye: Proportionality and Surveillance</b:Title>
    <b:Year>2015</b:Year>
    <b:JournalName>Ethical Theory &amp; Moral Practice</b:JournalName>
    <b:Pages>529-548</b:Pages>
    <b:Author>
      <b:Author>
        <b:NameList>
          <b:Person>
            <b:Last>Macnish</b:Last>
            <b:First>Kevin</b:First>
          </b:Person>
        </b:NameList>
      </b:Author>
    </b:Author>
    <b:URL>http://eds.b.ebscohost.com.proxy-library.ashford.edu/eds/pdfviewer/pdfviewer?sid=b8dbc481-d7cd-43ac-9639-a5801878b397%40sessionmgr101&amp;vid=5&amp;hid=122</b:URL>
    <b:RefOrder>4</b:RefOrder>
  </b:Source>
  <b:Source>
    <b:Tag>Sag15</b:Tag>
    <b:SourceType>JournalArticle</b:SourceType>
    <b:Guid>{086E7C12-E729-4BD3-91DC-C3E6537C6D5C}</b:Guid>
    <b:Author>
      <b:Author>
        <b:NameList>
          <b:Person>
            <b:Last>Sagar</b:Last>
            <b:First>Rahual</b:First>
          </b:Person>
        </b:NameList>
      </b:Author>
    </b:Author>
    <b:Title>Against Moral Absolutism: Surveillance and Disclosure After Snowden</b:Title>
    <b:JournalName>Ethics and International Affairs</b:JournalName>
    <b:Year>2015</b:Year>
    <b:Pages>145-159</b:Pages>
    <b:Volume>29</b:Volume>
    <b:Issue>2</b:Issue>
    <b:URL>http://search.proquest.com.proxy-library.ashford.edu/docview/1687528900?accountid=32521</b:URL>
    <b:RefOrder>5</b:RefOrder>
  </b:Source>
  <b:Source>
    <b:Tag>Last</b:Tag>
    <b:SourceType>JournalArticle</b:SourceType>
    <b:Guid>{63CB71D2-2162-475A-AD91-470FDDC6F864}</b:Guid>
    <b:Title>GOVERNMENT SURVEILLANCE, NEOLIBERAL CITIZENSHIP,AND SOCIAL IDENTITY</b:Title>
    <b:Year>2015</b:Year>
    <b:Author>
      <b:Author>
        <b:NameList>
          <b:Person>
            <b:Last>PETCU</b:Last>
            <b:First>RADU</b:First>
          </b:Person>
        </b:NameList>
      </b:Author>
    </b:Author>
    <b:JournalName>Review of Contemporary Philosophy</b:JournalName>
    <b:Pages>126-131</b:Pages>
    <b:URL>http://search.proquest.com.proxy-library.ashford.edu/docview/1711072542/fulltextPDF/D040172D7A4A472BPQ/1?accountid=32521</b:URL>
    <b:RefOrder>6</b:RefOrder>
  </b:Source>
  <b:Source>
    <b:Tag>Des14</b:Tag>
    <b:SourceType>JournalArticle</b:SourceType>
    <b:Guid>{E5FF0A60-FA31-412E-A271-06E600BBDE5A}</b:Guid>
    <b:Author>
      <b:Author>
        <b:NameList>
          <b:Person>
            <b:Last>Desai</b:Last>
            <b:First>Deven</b:First>
            <b:Middle>R.</b:Middle>
          </b:Person>
        </b:NameList>
      </b:Author>
    </b:Author>
    <b:Title>Constitutional limits on surveillance: associational freedom in the age of data hoarding</b:Title>
    <b:JournalName>Notre Dame Law Review</b:JournalName>
    <b:Year>2014</b:Year>
    <b:Volume>90</b:Volume>
    <b:Issue>2</b:Issue>
    <b:URL>http://bi.galegroup.com.proxy-library.ashford.edu/global/article/GALE%7CA404446320/50788df513c3e9ce6f6a4a907fae6de7?u=ashford</b:URL>
    <b:RefOrder>7</b:RefOrder>
  </b:Source>
  <b:Source>
    <b:Tag>Mac</b:Tag>
    <b:SourceType>InternetSite</b:SourceType>
    <b:Guid>{57C059A1-E946-4234-A940-85D34DB7A4C6}</b:Guid>
    <b:Title>Surveillance Ethics</b:Title>
    <b:Author>
      <b:Author>
        <b:NameList>
          <b:Person>
            <b:Last>Macnish</b:Last>
            <b:First>Kevin</b:First>
          </b:Person>
        </b:NameList>
      </b:Author>
    </b:Author>
    <b:InternetSiteTitle>Internet Encyclopedia of Philosophy and its Authors</b:InternetSiteTitle>
    <b:URL>http://www.iep.utm.edu/surv-eth/</b:URL>
    <b:StandardNumber>ISSN 2161-0002</b:StandardNumber>
    <b:RefOrder>3</b:RefOrder>
  </b:Source>
  <b:Source>
    <b:Tag>Orw49</b:Tag>
    <b:SourceType>Book</b:SourceType>
    <b:Guid>{524EA9DE-649B-46A3-9C96-80240AA92AB2}</b:Guid>
    <b:Title>1984</b:Title>
    <b:Year>1949</b:Year>
    <b:Author>
      <b:Author>
        <b:NameList>
          <b:Person>
            <b:Last>Orwell</b:Last>
            <b:First>George</b:First>
          </b:Person>
        </b:NameList>
      </b:Author>
    </b:Author>
    <b:RefOrder>1</b:RefOrder>
  </b:Source>
  <b:Source>
    <b:Tag>Ric13</b:Tag>
    <b:SourceType>JournalArticle</b:SourceType>
    <b:Guid>{17715F4C-EFEA-405B-B57B-9B26D5158514}</b:Guid>
    <b:Title>The Dangers of Surveillance</b:Title>
    <b:Year>2013</b:Year>
    <b:Author>
      <b:Author>
        <b:NameList>
          <b:Person>
            <b:Last>Richards</b:Last>
            <b:First>Neil</b:First>
            <b:Middle>M.</b:Middle>
          </b:Person>
        </b:NameList>
      </b:Author>
    </b:Author>
    <b:JournalName>Harvard Law Review</b:JournalName>
    <b:Pages>1934-1965</b:Pages>
    <b:Volume>126</b:Volume>
    <b:Issue>7</b:Issue>
    <b:URL>http://eds.b.ebscohost.com.proxy-library.ashford.edu/eds/pdfviewer/pdfviewer?sid=f966a953-72db-4935-a005-09615744682b%40sessionmgr107&amp;vid=5&amp;hid=122</b:URL>
    <b:RefOrder>8</b:RefOrder>
  </b:Source>
  <b:Source>
    <b:Tag>Mer15</b:Tag>
    <b:SourceType>InternetSite</b:SourceType>
    <b:Guid>{ABE6B7C8-4B41-4777-A959-693352690A39}</b:Guid>
    <b:Title>Merriam-Webster dictionary</b:Title>
    <b:Year>2015</b:Year>
    <b:InternetSiteTitle>Merriam-Webster</b:InternetSiteTitle>
    <b:URL>http://www.merriam-webster.com/dictionary/surveillance and http://www.merriam-webster.com/dictionary/domestic</b:URL>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5.xml><?xml version="1.0" encoding="utf-8"?>
<ds:datastoreItem xmlns:ds="http://schemas.openxmlformats.org/officeDocument/2006/customXml" ds:itemID="{571D0B64-300C-4088-B297-5BC211DD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141</TotalTime>
  <Pages>6</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Surveillance</dc:title>
  <dc:subject/>
  <dc:creator>Brittany Weldon</dc:creator>
  <cp:keywords/>
  <dc:description/>
  <cp:lastModifiedBy>Brittany Weldon</cp:lastModifiedBy>
  <cp:revision>2</cp:revision>
  <dcterms:created xsi:type="dcterms:W3CDTF">2016-08-16T21:18:00Z</dcterms:created>
  <dcterms:modified xsi:type="dcterms:W3CDTF">2016-08-26T17:03:00Z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