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74A" w:rsidRPr="009739F7" w:rsidRDefault="009739F7" w:rsidP="009739F7">
      <w:pPr>
        <w:spacing w:after="0" w:line="240" w:lineRule="auto"/>
        <w:jc w:val="center"/>
        <w:rPr>
          <w:rFonts w:ascii="Arial" w:eastAsia="Calibri" w:hAnsi="Arial" w:cs="Arial"/>
          <w:sz w:val="24"/>
          <w:szCs w:val="24"/>
          <w:lang w:val="en-US"/>
        </w:rPr>
      </w:pPr>
      <w:bookmarkStart w:id="0" w:name="_GoBack"/>
      <w:bookmarkEnd w:id="0"/>
      <w:r w:rsidRPr="009739F7">
        <w:rPr>
          <w:rFonts w:eastAsia="Calibri" w:cs="Arial"/>
          <w:b/>
          <w:sz w:val="24"/>
          <w:szCs w:val="24"/>
          <w:lang w:val="en-US"/>
        </w:rPr>
        <w:t xml:space="preserve">OL 655 </w:t>
      </w:r>
      <w:r w:rsidR="004E1DC3" w:rsidRPr="009739F7">
        <w:rPr>
          <w:rFonts w:eastAsia="Calibri" w:cs="Arial"/>
          <w:b/>
          <w:sz w:val="24"/>
          <w:szCs w:val="24"/>
          <w:lang w:val="en-US"/>
        </w:rPr>
        <w:t>Case Study</w:t>
      </w:r>
      <w:r w:rsidR="005B7A91" w:rsidRPr="009739F7">
        <w:rPr>
          <w:rFonts w:eastAsia="Calibri" w:cs="Arial"/>
          <w:b/>
          <w:sz w:val="24"/>
          <w:szCs w:val="24"/>
          <w:lang w:val="en-US"/>
        </w:rPr>
        <w:t xml:space="preserve"> Two</w:t>
      </w:r>
      <w:r w:rsidR="004E1DC3" w:rsidRPr="009739F7">
        <w:rPr>
          <w:rFonts w:eastAsia="Calibri" w:cs="Arial"/>
          <w:b/>
          <w:sz w:val="24"/>
          <w:szCs w:val="24"/>
          <w:lang w:val="en-US"/>
        </w:rPr>
        <w:t xml:space="preserve">: </w:t>
      </w:r>
      <w:r w:rsidR="00B14289" w:rsidRPr="009739F7">
        <w:rPr>
          <w:rFonts w:eastAsia="Calibri" w:cs="Arial"/>
          <w:b/>
          <w:sz w:val="24"/>
          <w:szCs w:val="24"/>
          <w:lang w:val="en-US"/>
        </w:rPr>
        <w:t>The CEO Institute Focused on Meaningful Leadership Experiences</w:t>
      </w:r>
      <w:r w:rsidR="005B7A91" w:rsidRPr="009739F7">
        <w:rPr>
          <w:rFonts w:eastAsia="Calibri" w:cs="Arial"/>
          <w:b/>
          <w:sz w:val="24"/>
          <w:szCs w:val="24"/>
          <w:lang w:val="en-US"/>
        </w:rPr>
        <w:t xml:space="preserve"> Guidelines and Rubric</w:t>
      </w:r>
    </w:p>
    <w:p w:rsidR="005B7A91" w:rsidRPr="009739F7" w:rsidRDefault="005B7A91" w:rsidP="009739F7">
      <w:pPr>
        <w:spacing w:after="0" w:line="240" w:lineRule="auto"/>
        <w:rPr>
          <w:rFonts w:cs="Arial"/>
          <w:b/>
          <w:lang w:val="en-US"/>
        </w:rPr>
      </w:pPr>
    </w:p>
    <w:p w:rsidR="00530E6E" w:rsidRPr="009739F7" w:rsidRDefault="00530E6E" w:rsidP="009739F7">
      <w:pPr>
        <w:spacing w:after="0" w:line="240" w:lineRule="auto"/>
        <w:rPr>
          <w:rFonts w:cs="Arial"/>
          <w:b/>
          <w:lang w:val="en-US"/>
        </w:rPr>
      </w:pPr>
      <w:r w:rsidRPr="009739F7">
        <w:rPr>
          <w:rFonts w:cs="Arial"/>
          <w:b/>
          <w:lang w:val="en-US"/>
        </w:rPr>
        <w:t>Overview</w:t>
      </w:r>
    </w:p>
    <w:p w:rsidR="00911049" w:rsidRPr="009739F7" w:rsidRDefault="00530E6E" w:rsidP="009739F7">
      <w:pPr>
        <w:spacing w:after="0" w:line="240" w:lineRule="auto"/>
        <w:rPr>
          <w:rFonts w:cs="Arial"/>
          <w:lang w:val="en-US"/>
        </w:rPr>
      </w:pPr>
      <w:r w:rsidRPr="009739F7">
        <w:rPr>
          <w:rFonts w:cs="Arial"/>
          <w:lang w:val="en-US"/>
        </w:rPr>
        <w:t>This course includes t</w:t>
      </w:r>
      <w:r w:rsidR="00BF6E7D" w:rsidRPr="009739F7">
        <w:rPr>
          <w:rFonts w:cs="Arial"/>
          <w:lang w:val="en-US"/>
        </w:rPr>
        <w:t>wo</w:t>
      </w:r>
      <w:r w:rsidRPr="009739F7">
        <w:rPr>
          <w:rFonts w:cs="Arial"/>
          <w:lang w:val="en-US"/>
        </w:rPr>
        <w:t xml:space="preserve"> case studies. These exercises are designed to actively involve you in </w:t>
      </w:r>
      <w:r w:rsidR="008C34E3" w:rsidRPr="009739F7">
        <w:rPr>
          <w:rFonts w:cs="Arial"/>
          <w:lang w:val="en-US"/>
        </w:rPr>
        <w:t xml:space="preserve">human resource management </w:t>
      </w:r>
      <w:r w:rsidRPr="009739F7">
        <w:rPr>
          <w:rFonts w:cs="Arial"/>
          <w:lang w:val="en-US"/>
        </w:rPr>
        <w:t xml:space="preserve">decision making and help you apply the concepts covered in the course to complex real-world situations. The case studies provide practice reading and </w:t>
      </w:r>
      <w:r w:rsidR="008C34E3" w:rsidRPr="009739F7">
        <w:rPr>
          <w:rFonts w:cs="Arial"/>
          <w:lang w:val="en-US"/>
        </w:rPr>
        <w:t xml:space="preserve">give experience analyzing employee competencies, planning strategic talent development strategies, and forecasting workforce needs. </w:t>
      </w:r>
      <w:r w:rsidRPr="009739F7">
        <w:rPr>
          <w:rFonts w:cs="Arial"/>
          <w:lang w:val="en-US"/>
        </w:rPr>
        <w:t>These exercises also provide practice communicating your reasoning in a professional manner.</w:t>
      </w:r>
    </w:p>
    <w:p w:rsidR="00530E6E" w:rsidRPr="009739F7" w:rsidRDefault="00530E6E" w:rsidP="009739F7">
      <w:pPr>
        <w:spacing w:after="0" w:line="240" w:lineRule="auto"/>
        <w:rPr>
          <w:rFonts w:cs="Arial"/>
          <w:lang w:val="en-US"/>
        </w:rPr>
      </w:pPr>
    </w:p>
    <w:p w:rsidR="008C34E3" w:rsidRPr="009739F7" w:rsidRDefault="008C34E3" w:rsidP="009739F7">
      <w:pPr>
        <w:spacing w:after="0" w:line="240" w:lineRule="auto"/>
        <w:rPr>
          <w:rFonts w:cs="Arial"/>
          <w:b/>
          <w:lang w:val="en-US"/>
        </w:rPr>
      </w:pPr>
      <w:r w:rsidRPr="009739F7">
        <w:rPr>
          <w:rFonts w:cs="Arial"/>
          <w:b/>
          <w:lang w:val="en-US"/>
        </w:rPr>
        <w:t>Case Study</w:t>
      </w:r>
    </w:p>
    <w:p w:rsidR="00BB235A" w:rsidRDefault="00BB235A" w:rsidP="00BB235A">
      <w:r>
        <w:t>According to Nancy Reardon (2011), senior vice president and chief human resources and communications officer at Campbell Soup Company, t</w:t>
      </w:r>
      <w:r w:rsidRPr="002058AE">
        <w:t xml:space="preserve">he goal </w:t>
      </w:r>
      <w:r>
        <w:t>the c</w:t>
      </w:r>
      <w:r w:rsidRPr="002058AE">
        <w:t>ompany</w:t>
      </w:r>
      <w:r>
        <w:t>’s</w:t>
      </w:r>
      <w:r w:rsidRPr="002058AE">
        <w:t xml:space="preserve"> CEO Institute is to </w:t>
      </w:r>
      <w:r>
        <w:t>“</w:t>
      </w:r>
      <w:r w:rsidRPr="002058AE">
        <w:t>create the most meaningful leadership experi</w:t>
      </w:r>
      <w:r>
        <w:t>ence participants have ever had” (p. 46</w:t>
      </w:r>
      <w:r w:rsidRPr="002058AE">
        <w:t>)</w:t>
      </w:r>
      <w:r>
        <w:t>. The two-year residential programs are capped at 20-24 participants, and include members from across the company, representing a wide variety of positions</w:t>
      </w:r>
      <w:r w:rsidRPr="00670633">
        <w:t xml:space="preserve">, </w:t>
      </w:r>
      <w:r>
        <w:t>physical locations</w:t>
      </w:r>
      <w:r w:rsidRPr="00670633">
        <w:t xml:space="preserve">, and </w:t>
      </w:r>
      <w:r>
        <w:t xml:space="preserve">departments. </w:t>
      </w:r>
    </w:p>
    <w:p w:rsidR="00BB235A" w:rsidRDefault="00BB235A" w:rsidP="00BB235A">
      <w:r>
        <w:t>Participants begin by hand-writing a letter to the CEO of the company, affirming their commitment to the program. They are then are instructed and supported through a five-module program, consisting of intensive multi-day workshops with homework and reflective activities between each meeting. The modules begin with fundamentals, then work through exemplary leadership across the field and participants’ internal reasons for leading. Finally, modules four and five focus on inspiring others, coaching, and “paying it forward” (p. 48).</w:t>
      </w:r>
    </w:p>
    <w:p w:rsidR="00BB235A" w:rsidRDefault="00BB235A" w:rsidP="00BB235A">
      <w:r w:rsidRPr="00406F3B">
        <w:rPr>
          <w:b/>
          <w:u w:val="single"/>
        </w:rPr>
        <w:t>References</w:t>
      </w:r>
      <w:r w:rsidRPr="00406F3B">
        <w:rPr>
          <w:b/>
        </w:rPr>
        <w:t>:</w:t>
      </w:r>
      <w:r>
        <w:t xml:space="preserve"> </w:t>
      </w:r>
      <w:r w:rsidRPr="002852E3">
        <w:t>Reardon, N. (2011). Making Leadership Personal. T+D, 65(3), 44-49</w:t>
      </w:r>
      <w:r>
        <w:t>. (</w:t>
      </w:r>
      <w:hyperlink r:id="rId10" w:history="1">
        <w:r w:rsidRPr="00BB235A">
          <w:rPr>
            <w:rStyle w:val="Hyperlink"/>
          </w:rPr>
          <w:t>Permalink</w:t>
        </w:r>
      </w:hyperlink>
      <w:r>
        <w:t>)</w:t>
      </w:r>
    </w:p>
    <w:p w:rsidR="00530E6E" w:rsidRPr="009739F7" w:rsidRDefault="00530E6E" w:rsidP="009739F7">
      <w:pPr>
        <w:spacing w:after="0" w:line="240" w:lineRule="auto"/>
        <w:rPr>
          <w:rFonts w:cs="Arial"/>
          <w:b/>
          <w:lang w:val="en-US"/>
        </w:rPr>
      </w:pPr>
      <w:r w:rsidRPr="009739F7">
        <w:rPr>
          <w:rFonts w:cs="Arial"/>
          <w:b/>
          <w:lang w:val="en-US"/>
        </w:rPr>
        <w:t>Prompt</w:t>
      </w:r>
    </w:p>
    <w:p w:rsidR="00CD73DD" w:rsidRPr="009739F7" w:rsidRDefault="00CD73DD" w:rsidP="009739F7">
      <w:pPr>
        <w:spacing w:after="0" w:line="240" w:lineRule="auto"/>
        <w:rPr>
          <w:rFonts w:cs="Arial"/>
          <w:lang w:val="en-US"/>
        </w:rPr>
      </w:pPr>
      <w:r w:rsidRPr="009739F7">
        <w:rPr>
          <w:rFonts w:cs="Arial"/>
          <w:lang w:val="en-US"/>
        </w:rPr>
        <w:t>To answer the prompt below</w:t>
      </w:r>
      <w:r w:rsidR="009739F7" w:rsidRPr="009739F7">
        <w:rPr>
          <w:rFonts w:cs="Arial"/>
          <w:lang w:val="en-US"/>
        </w:rPr>
        <w:t>,</w:t>
      </w:r>
      <w:r w:rsidRPr="009739F7">
        <w:rPr>
          <w:rFonts w:cs="Arial"/>
          <w:lang w:val="en-US"/>
        </w:rPr>
        <w:t xml:space="preserve"> </w:t>
      </w:r>
      <w:r w:rsidR="00F77A3F" w:rsidRPr="009739F7">
        <w:rPr>
          <w:rFonts w:cs="Arial"/>
          <w:lang w:val="en-US"/>
        </w:rPr>
        <w:t>use</w:t>
      </w:r>
      <w:r w:rsidRPr="009739F7">
        <w:rPr>
          <w:rFonts w:cs="Arial"/>
          <w:lang w:val="en-US"/>
        </w:rPr>
        <w:t xml:space="preserve"> the following readings:</w:t>
      </w:r>
    </w:p>
    <w:p w:rsidR="009739F7" w:rsidRPr="009739F7" w:rsidRDefault="009739F7" w:rsidP="009739F7">
      <w:pPr>
        <w:spacing w:after="0" w:line="240" w:lineRule="auto"/>
        <w:rPr>
          <w:rFonts w:cs="Arial"/>
          <w:lang w:val="en-US"/>
        </w:rPr>
      </w:pPr>
    </w:p>
    <w:p w:rsidR="005B7A91" w:rsidRPr="009739F7" w:rsidRDefault="005B7A91" w:rsidP="009739F7">
      <w:pPr>
        <w:numPr>
          <w:ilvl w:val="0"/>
          <w:numId w:val="1"/>
        </w:numPr>
        <w:spacing w:after="0" w:line="240" w:lineRule="auto"/>
        <w:rPr>
          <w:rFonts w:cs="Arial"/>
          <w:szCs w:val="20"/>
          <w:lang w:val="en-US"/>
        </w:rPr>
      </w:pPr>
      <w:r w:rsidRPr="009739F7">
        <w:rPr>
          <w:szCs w:val="20"/>
          <w:shd w:val="clear" w:color="auto" w:fill="FFFFFF"/>
          <w:lang w:val="en-US"/>
        </w:rPr>
        <w:t>“</w:t>
      </w:r>
      <w:r w:rsidR="002B5996" w:rsidRPr="009739F7">
        <w:rPr>
          <w:szCs w:val="20"/>
          <w:shd w:val="clear" w:color="auto" w:fill="FFFFFF"/>
          <w:lang w:val="en-US"/>
        </w:rPr>
        <w:t>Leadership-the rest of the story</w:t>
      </w:r>
      <w:r w:rsidRPr="009739F7">
        <w:rPr>
          <w:szCs w:val="20"/>
          <w:shd w:val="clear" w:color="auto" w:fill="FFFFFF"/>
          <w:lang w:val="en-US"/>
        </w:rPr>
        <w:t>”:</w:t>
      </w:r>
      <w:r w:rsidR="002B5996" w:rsidRPr="009739F7">
        <w:rPr>
          <w:szCs w:val="20"/>
          <w:shd w:val="clear" w:color="auto" w:fill="FFFFFF"/>
          <w:lang w:val="en-US"/>
        </w:rPr>
        <w:t xml:space="preserve"> </w:t>
      </w:r>
      <w:hyperlink r:id="rId11" w:history="1">
        <w:r w:rsidR="002B5996" w:rsidRPr="009739F7">
          <w:rPr>
            <w:rStyle w:val="Hyperlink"/>
            <w:lang w:val="en-US"/>
          </w:rPr>
          <w:t>http://ezproxy.snhu.edu/login?url=http://search.proquest.com/docview/1507294864?accountid=3783</w:t>
        </w:r>
      </w:hyperlink>
    </w:p>
    <w:p w:rsidR="00B14289" w:rsidRPr="009739F7" w:rsidRDefault="005B7A91" w:rsidP="009739F7">
      <w:pPr>
        <w:numPr>
          <w:ilvl w:val="0"/>
          <w:numId w:val="1"/>
        </w:numPr>
        <w:spacing w:after="0" w:line="240" w:lineRule="auto"/>
        <w:rPr>
          <w:rFonts w:cs="Arial"/>
          <w:szCs w:val="20"/>
          <w:lang w:val="en-US"/>
        </w:rPr>
      </w:pPr>
      <w:r w:rsidRPr="009739F7">
        <w:rPr>
          <w:rFonts w:cs="Arial"/>
          <w:szCs w:val="20"/>
          <w:lang w:val="en-US"/>
        </w:rPr>
        <w:t>“</w:t>
      </w:r>
      <w:r w:rsidR="002B5996" w:rsidRPr="009739F7">
        <w:rPr>
          <w:rFonts w:cs="Arial"/>
          <w:szCs w:val="20"/>
          <w:lang w:val="en-US"/>
        </w:rPr>
        <w:t xml:space="preserve">Virtual </w:t>
      </w:r>
      <w:r w:rsidRPr="009739F7">
        <w:rPr>
          <w:rFonts w:cs="Arial"/>
          <w:szCs w:val="20"/>
          <w:lang w:val="en-US"/>
        </w:rPr>
        <w:t>I</w:t>
      </w:r>
      <w:r w:rsidR="002B5996" w:rsidRPr="009739F7">
        <w:rPr>
          <w:rFonts w:cs="Arial"/>
          <w:szCs w:val="20"/>
          <w:lang w:val="en-US"/>
        </w:rPr>
        <w:t>nstructor-</w:t>
      </w:r>
      <w:r w:rsidRPr="009739F7">
        <w:rPr>
          <w:rFonts w:cs="Arial"/>
          <w:szCs w:val="20"/>
          <w:lang w:val="en-US"/>
        </w:rPr>
        <w:t>L</w:t>
      </w:r>
      <w:r w:rsidR="002B5996" w:rsidRPr="009739F7">
        <w:rPr>
          <w:rFonts w:cs="Arial"/>
          <w:szCs w:val="20"/>
          <w:lang w:val="en-US"/>
        </w:rPr>
        <w:t xml:space="preserve">ed </w:t>
      </w:r>
      <w:r w:rsidRPr="009739F7">
        <w:rPr>
          <w:rFonts w:cs="Arial"/>
          <w:szCs w:val="20"/>
          <w:lang w:val="en-US"/>
        </w:rPr>
        <w:t>T</w:t>
      </w:r>
      <w:r w:rsidR="002B5996" w:rsidRPr="009739F7">
        <w:rPr>
          <w:rFonts w:cs="Arial"/>
          <w:szCs w:val="20"/>
          <w:lang w:val="en-US"/>
        </w:rPr>
        <w:t>raining: Powerful, not PowerPoint</w:t>
      </w:r>
      <w:r w:rsidRPr="009739F7">
        <w:rPr>
          <w:rFonts w:cs="Arial"/>
          <w:szCs w:val="20"/>
          <w:lang w:val="en-US"/>
        </w:rPr>
        <w:t xml:space="preserve">”: </w:t>
      </w:r>
      <w:hyperlink r:id="rId12" w:history="1">
        <w:r w:rsidR="002B5996" w:rsidRPr="009739F7">
          <w:rPr>
            <w:rStyle w:val="Hyperlink"/>
            <w:rFonts w:cs="Arial"/>
            <w:szCs w:val="20"/>
            <w:lang w:val="en-US"/>
          </w:rPr>
          <w:t>http://ezproxy.snhu.edu/login?url=http://search.proquest.com/docview/608039093?accountid=3783</w:t>
        </w:r>
      </w:hyperlink>
      <w:r w:rsidR="009739F7" w:rsidRPr="009739F7">
        <w:rPr>
          <w:rFonts w:cs="Arial"/>
          <w:szCs w:val="20"/>
          <w:lang w:val="en-US"/>
        </w:rPr>
        <w:t xml:space="preserve"> </w:t>
      </w:r>
    </w:p>
    <w:p w:rsidR="005B7A91" w:rsidRPr="009739F7" w:rsidRDefault="005B7A91" w:rsidP="009739F7">
      <w:pPr>
        <w:numPr>
          <w:ilvl w:val="0"/>
          <w:numId w:val="1"/>
        </w:numPr>
        <w:spacing w:after="0" w:line="240" w:lineRule="auto"/>
        <w:rPr>
          <w:rFonts w:cs="Arial"/>
          <w:szCs w:val="20"/>
          <w:lang w:val="en-US"/>
        </w:rPr>
      </w:pPr>
      <w:r w:rsidRPr="009739F7">
        <w:rPr>
          <w:szCs w:val="20"/>
          <w:shd w:val="clear" w:color="auto" w:fill="FFFFFF"/>
          <w:lang w:val="en-US"/>
        </w:rPr>
        <w:t>“</w:t>
      </w:r>
      <w:r w:rsidR="002B5996" w:rsidRPr="009739F7">
        <w:rPr>
          <w:szCs w:val="20"/>
          <w:shd w:val="clear" w:color="auto" w:fill="FFFFFF"/>
          <w:lang w:val="en-US"/>
        </w:rPr>
        <w:t xml:space="preserve">Keep </w:t>
      </w:r>
      <w:r w:rsidRPr="009739F7">
        <w:rPr>
          <w:szCs w:val="20"/>
          <w:shd w:val="clear" w:color="auto" w:fill="FFFFFF"/>
          <w:lang w:val="en-US"/>
        </w:rPr>
        <w:t>C</w:t>
      </w:r>
      <w:r w:rsidR="002B5996" w:rsidRPr="009739F7">
        <w:rPr>
          <w:szCs w:val="20"/>
          <w:shd w:val="clear" w:color="auto" w:fill="FFFFFF"/>
          <w:lang w:val="en-US"/>
        </w:rPr>
        <w:t xml:space="preserve">alm and </w:t>
      </w:r>
      <w:r w:rsidRPr="009739F7">
        <w:rPr>
          <w:szCs w:val="20"/>
          <w:shd w:val="clear" w:color="auto" w:fill="FFFFFF"/>
          <w:lang w:val="en-US"/>
        </w:rPr>
        <w:t>L</w:t>
      </w:r>
      <w:r w:rsidR="002B5996" w:rsidRPr="009739F7">
        <w:rPr>
          <w:szCs w:val="20"/>
          <w:shd w:val="clear" w:color="auto" w:fill="FFFFFF"/>
          <w:lang w:val="en-US"/>
        </w:rPr>
        <w:t xml:space="preserve">ead </w:t>
      </w:r>
      <w:r w:rsidRPr="009739F7">
        <w:rPr>
          <w:szCs w:val="20"/>
          <w:shd w:val="clear" w:color="auto" w:fill="FFFFFF"/>
          <w:lang w:val="en-US"/>
        </w:rPr>
        <w:t>O</w:t>
      </w:r>
      <w:r w:rsidR="002B5996" w:rsidRPr="009739F7">
        <w:rPr>
          <w:szCs w:val="20"/>
          <w:shd w:val="clear" w:color="auto" w:fill="FFFFFF"/>
          <w:lang w:val="en-US"/>
        </w:rPr>
        <w:t>n</w:t>
      </w:r>
      <w:r w:rsidRPr="009739F7">
        <w:rPr>
          <w:szCs w:val="20"/>
          <w:shd w:val="clear" w:color="auto" w:fill="FFFFFF"/>
          <w:lang w:val="en-US"/>
        </w:rPr>
        <w:t>”:</w:t>
      </w:r>
      <w:r w:rsidR="002B5996" w:rsidRPr="009739F7">
        <w:rPr>
          <w:i/>
          <w:iCs/>
          <w:szCs w:val="20"/>
          <w:shd w:val="clear" w:color="auto" w:fill="FFFFFF"/>
          <w:lang w:val="en-US"/>
        </w:rPr>
        <w:t xml:space="preserve"> </w:t>
      </w:r>
      <w:hyperlink r:id="rId13" w:history="1">
        <w:r w:rsidR="002B5996" w:rsidRPr="009739F7">
          <w:rPr>
            <w:rStyle w:val="Hyperlink"/>
            <w:lang w:val="en-US"/>
          </w:rPr>
          <w:t>http://ezproxy.snhu.edu/login?url=http://search.proquest.com/docview/1500362303?accountid=3783</w:t>
        </w:r>
      </w:hyperlink>
    </w:p>
    <w:p w:rsidR="008D32E6" w:rsidRPr="009739F7" w:rsidRDefault="005B7A91" w:rsidP="009739F7">
      <w:pPr>
        <w:pStyle w:val="ListParagraph"/>
        <w:numPr>
          <w:ilvl w:val="0"/>
          <w:numId w:val="1"/>
        </w:numPr>
        <w:spacing w:after="0" w:line="240" w:lineRule="auto"/>
        <w:contextualSpacing w:val="0"/>
        <w:rPr>
          <w:rFonts w:eastAsia="Calibri" w:cs="Arial"/>
          <w:szCs w:val="20"/>
          <w:lang w:val="en-US"/>
        </w:rPr>
      </w:pPr>
      <w:r w:rsidRPr="009739F7">
        <w:rPr>
          <w:szCs w:val="20"/>
          <w:shd w:val="clear" w:color="auto" w:fill="FFFFFF"/>
          <w:lang w:val="en-US"/>
        </w:rPr>
        <w:t>“</w:t>
      </w:r>
      <w:r w:rsidR="002B5996" w:rsidRPr="009739F7">
        <w:rPr>
          <w:szCs w:val="20"/>
          <w:shd w:val="clear" w:color="auto" w:fill="FFFFFF"/>
          <w:lang w:val="en-US"/>
        </w:rPr>
        <w:t xml:space="preserve">Google's </w:t>
      </w:r>
      <w:r w:rsidRPr="009739F7">
        <w:rPr>
          <w:szCs w:val="20"/>
          <w:shd w:val="clear" w:color="auto" w:fill="FFFFFF"/>
          <w:lang w:val="en-US"/>
        </w:rPr>
        <w:t>J</w:t>
      </w:r>
      <w:r w:rsidR="002B5996" w:rsidRPr="009739F7">
        <w:rPr>
          <w:szCs w:val="20"/>
          <w:shd w:val="clear" w:color="auto" w:fill="FFFFFF"/>
          <w:lang w:val="en-US"/>
        </w:rPr>
        <w:t xml:space="preserve">olly </w:t>
      </w:r>
      <w:r w:rsidRPr="009739F7">
        <w:rPr>
          <w:szCs w:val="20"/>
          <w:shd w:val="clear" w:color="auto" w:fill="FFFFFF"/>
          <w:lang w:val="en-US"/>
        </w:rPr>
        <w:t>G</w:t>
      </w:r>
      <w:r w:rsidR="002B5996" w:rsidRPr="009739F7">
        <w:rPr>
          <w:szCs w:val="20"/>
          <w:shd w:val="clear" w:color="auto" w:fill="FFFFFF"/>
          <w:lang w:val="en-US"/>
        </w:rPr>
        <w:t xml:space="preserve">ood </w:t>
      </w:r>
      <w:r w:rsidRPr="009739F7">
        <w:rPr>
          <w:szCs w:val="20"/>
          <w:shd w:val="clear" w:color="auto" w:fill="FFFFFF"/>
          <w:lang w:val="en-US"/>
        </w:rPr>
        <w:t>F</w:t>
      </w:r>
      <w:r w:rsidR="002B5996" w:rsidRPr="009739F7">
        <w:rPr>
          <w:szCs w:val="20"/>
          <w:shd w:val="clear" w:color="auto" w:fill="FFFFFF"/>
          <w:lang w:val="en-US"/>
        </w:rPr>
        <w:t>ellow</w:t>
      </w:r>
      <w:r w:rsidRPr="009739F7">
        <w:rPr>
          <w:szCs w:val="20"/>
          <w:shd w:val="clear" w:color="auto" w:fill="FFFFFF"/>
          <w:lang w:val="en-US"/>
        </w:rPr>
        <w:t>”:</w:t>
      </w:r>
      <w:r w:rsidR="002B5996" w:rsidRPr="009739F7">
        <w:rPr>
          <w:szCs w:val="20"/>
          <w:lang w:val="en-US"/>
        </w:rPr>
        <w:t xml:space="preserve"> </w:t>
      </w:r>
      <w:hyperlink r:id="rId14" w:history="1">
        <w:r w:rsidR="002B5996" w:rsidRPr="009739F7">
          <w:rPr>
            <w:rStyle w:val="Hyperlink"/>
            <w:szCs w:val="20"/>
            <w:shd w:val="clear" w:color="auto" w:fill="FFFFFF"/>
            <w:lang w:val="en-US"/>
          </w:rPr>
          <w:t>http://ezproxy.snhu.edu/login?url=http://search.proquest.com/docview/1459697749?accountid=3783</w:t>
        </w:r>
      </w:hyperlink>
      <w:r w:rsidR="009739F7" w:rsidRPr="009739F7">
        <w:rPr>
          <w:szCs w:val="20"/>
          <w:shd w:val="clear" w:color="auto" w:fill="FFFFFF"/>
          <w:lang w:val="en-US"/>
        </w:rPr>
        <w:t xml:space="preserve"> </w:t>
      </w:r>
    </w:p>
    <w:p w:rsidR="009739F7" w:rsidRPr="009739F7" w:rsidRDefault="005B7A91" w:rsidP="009739F7">
      <w:pPr>
        <w:pStyle w:val="ListParagraph"/>
        <w:numPr>
          <w:ilvl w:val="0"/>
          <w:numId w:val="1"/>
        </w:numPr>
        <w:spacing w:after="0" w:line="240" w:lineRule="auto"/>
        <w:contextualSpacing w:val="0"/>
        <w:rPr>
          <w:rFonts w:eastAsia="Calibri" w:cs="Arial"/>
          <w:szCs w:val="20"/>
          <w:lang w:val="en-US"/>
        </w:rPr>
      </w:pPr>
      <w:r w:rsidRPr="009739F7">
        <w:rPr>
          <w:rFonts w:eastAsia="Calibri" w:cs="Arial"/>
          <w:szCs w:val="20"/>
          <w:lang w:val="en-US"/>
        </w:rPr>
        <w:t>“</w:t>
      </w:r>
      <w:proofErr w:type="spellStart"/>
      <w:r w:rsidRPr="009739F7">
        <w:rPr>
          <w:rFonts w:eastAsia="Calibri" w:cs="Arial"/>
          <w:szCs w:val="20"/>
          <w:lang w:val="en-US"/>
        </w:rPr>
        <w:t>Chade-Meng</w:t>
      </w:r>
      <w:proofErr w:type="spellEnd"/>
      <w:r w:rsidRPr="009739F7">
        <w:rPr>
          <w:rFonts w:eastAsia="Calibri" w:cs="Arial"/>
          <w:szCs w:val="20"/>
          <w:lang w:val="en-US"/>
        </w:rPr>
        <w:t xml:space="preserve"> Tan: </w:t>
      </w:r>
      <w:r w:rsidR="002B5996" w:rsidRPr="009739F7">
        <w:rPr>
          <w:rFonts w:eastAsia="Calibri" w:cs="Arial"/>
          <w:szCs w:val="20"/>
          <w:lang w:val="en-US"/>
        </w:rPr>
        <w:t xml:space="preserve">Everyday </w:t>
      </w:r>
      <w:r w:rsidRPr="009739F7">
        <w:rPr>
          <w:rFonts w:eastAsia="Calibri" w:cs="Arial"/>
          <w:szCs w:val="20"/>
          <w:lang w:val="en-US"/>
        </w:rPr>
        <w:t>c</w:t>
      </w:r>
      <w:r w:rsidR="002B5996" w:rsidRPr="009739F7">
        <w:rPr>
          <w:rFonts w:eastAsia="Calibri" w:cs="Arial"/>
          <w:szCs w:val="20"/>
          <w:lang w:val="en-US"/>
        </w:rPr>
        <w:t>ompassion at Google</w:t>
      </w:r>
      <w:r w:rsidRPr="009739F7">
        <w:rPr>
          <w:rFonts w:eastAsia="Calibri" w:cs="Arial"/>
          <w:szCs w:val="20"/>
          <w:lang w:val="en-US"/>
        </w:rPr>
        <w:t xml:space="preserve">”: </w:t>
      </w:r>
      <w:hyperlink r:id="rId15" w:history="1">
        <w:r w:rsidR="009739F7" w:rsidRPr="009739F7">
          <w:rPr>
            <w:rStyle w:val="Hyperlink"/>
            <w:rFonts w:eastAsia="Calibri" w:cs="Arial"/>
            <w:szCs w:val="20"/>
            <w:lang w:val="en-US"/>
          </w:rPr>
          <w:t>http://www.youtube.com/watch?v=yTR4sAD_4qM</w:t>
        </w:r>
      </w:hyperlink>
    </w:p>
    <w:p w:rsidR="00B946DA" w:rsidRPr="009739F7" w:rsidRDefault="005B7A91" w:rsidP="009739F7">
      <w:pPr>
        <w:pStyle w:val="ListParagraph"/>
        <w:numPr>
          <w:ilvl w:val="0"/>
          <w:numId w:val="1"/>
        </w:numPr>
        <w:spacing w:after="0" w:line="240" w:lineRule="auto"/>
        <w:contextualSpacing w:val="0"/>
        <w:rPr>
          <w:rFonts w:eastAsia="Calibri" w:cs="Arial"/>
          <w:szCs w:val="20"/>
          <w:lang w:val="en-US"/>
        </w:rPr>
      </w:pPr>
      <w:r w:rsidRPr="009739F7">
        <w:rPr>
          <w:rFonts w:eastAsia="Calibri" w:cs="Arial"/>
          <w:szCs w:val="20"/>
          <w:lang w:val="en-US"/>
        </w:rPr>
        <w:t>This week’s textbook reading: Chapter Five from</w:t>
      </w:r>
      <w:r w:rsidR="002B5996" w:rsidRPr="009739F7">
        <w:rPr>
          <w:rFonts w:eastAsia="Calibri" w:cs="Arial"/>
          <w:i/>
          <w:szCs w:val="20"/>
          <w:lang w:val="en-US"/>
        </w:rPr>
        <w:t xml:space="preserve"> Employee Training and Development </w:t>
      </w:r>
    </w:p>
    <w:p w:rsidR="005B7A91" w:rsidRPr="009739F7" w:rsidRDefault="005B7A91" w:rsidP="009739F7">
      <w:pPr>
        <w:spacing w:after="0" w:line="240" w:lineRule="auto"/>
        <w:rPr>
          <w:rFonts w:eastAsia="Calibri" w:cs="Arial"/>
          <w:szCs w:val="20"/>
          <w:lang w:val="en-US"/>
        </w:rPr>
      </w:pPr>
    </w:p>
    <w:p w:rsidR="009371BD" w:rsidRPr="009739F7" w:rsidRDefault="002B5996" w:rsidP="009739F7">
      <w:pPr>
        <w:spacing w:after="0" w:line="240" w:lineRule="auto"/>
        <w:rPr>
          <w:rFonts w:eastAsia="Calibri" w:cs="Arial"/>
          <w:szCs w:val="20"/>
          <w:lang w:val="en-US"/>
        </w:rPr>
      </w:pPr>
      <w:r w:rsidRPr="009739F7">
        <w:rPr>
          <w:rFonts w:eastAsia="Calibri" w:cs="Arial"/>
          <w:szCs w:val="20"/>
          <w:lang w:val="en-US"/>
        </w:rPr>
        <w:t xml:space="preserve">Based on the </w:t>
      </w:r>
      <w:r w:rsidR="005B7A91" w:rsidRPr="009739F7">
        <w:rPr>
          <w:rFonts w:eastAsia="Calibri" w:cs="Arial"/>
          <w:szCs w:val="20"/>
          <w:lang w:val="en-US"/>
        </w:rPr>
        <w:t>c</w:t>
      </w:r>
      <w:r w:rsidRPr="009739F7">
        <w:rPr>
          <w:rFonts w:eastAsia="Calibri" w:cs="Arial"/>
          <w:szCs w:val="20"/>
          <w:lang w:val="en-US"/>
        </w:rPr>
        <w:t xml:space="preserve">ase </w:t>
      </w:r>
      <w:r w:rsidR="005B7A91" w:rsidRPr="009739F7">
        <w:rPr>
          <w:rFonts w:eastAsia="Calibri" w:cs="Arial"/>
          <w:szCs w:val="20"/>
          <w:lang w:val="en-US"/>
        </w:rPr>
        <w:t>s</w:t>
      </w:r>
      <w:r w:rsidRPr="009739F7">
        <w:rPr>
          <w:rFonts w:eastAsia="Calibri" w:cs="Arial"/>
          <w:szCs w:val="20"/>
          <w:lang w:val="en-US"/>
        </w:rPr>
        <w:t>tudy above, imagine you are the Vice President of Learning</w:t>
      </w:r>
      <w:r w:rsidR="005B7A91" w:rsidRPr="009739F7">
        <w:rPr>
          <w:rFonts w:eastAsia="Calibri" w:cs="Arial"/>
          <w:szCs w:val="20"/>
          <w:lang w:val="en-US"/>
        </w:rPr>
        <w:t xml:space="preserve"> at </w:t>
      </w:r>
      <w:r w:rsidR="00A005D9" w:rsidRPr="009739F7">
        <w:rPr>
          <w:rFonts w:eastAsia="Calibri" w:cs="Arial"/>
          <w:szCs w:val="20"/>
          <w:lang w:val="en-US"/>
        </w:rPr>
        <w:t>the CEO Institute</w:t>
      </w:r>
      <w:r w:rsidRPr="009739F7">
        <w:rPr>
          <w:rFonts w:eastAsia="Calibri" w:cs="Arial"/>
          <w:szCs w:val="20"/>
          <w:lang w:val="en-US"/>
        </w:rPr>
        <w:t>:</w:t>
      </w:r>
    </w:p>
    <w:p w:rsidR="000B4C68" w:rsidRPr="009739F7" w:rsidRDefault="009739F7" w:rsidP="009739F7">
      <w:pPr>
        <w:spacing w:after="0" w:line="240" w:lineRule="auto"/>
        <w:rPr>
          <w:rFonts w:eastAsia="Calibri" w:cs="Arial"/>
          <w:szCs w:val="20"/>
          <w:lang w:val="en-US"/>
        </w:rPr>
      </w:pPr>
      <w:r w:rsidRPr="009739F7">
        <w:rPr>
          <w:rFonts w:eastAsia="Calibri" w:cs="Arial"/>
          <w:szCs w:val="20"/>
          <w:lang w:val="en-US"/>
        </w:rPr>
        <w:t xml:space="preserve"> </w:t>
      </w:r>
    </w:p>
    <w:p w:rsidR="000B4C68" w:rsidRPr="009739F7" w:rsidRDefault="002B5996" w:rsidP="009739F7">
      <w:pPr>
        <w:pStyle w:val="ListParagraph"/>
        <w:numPr>
          <w:ilvl w:val="0"/>
          <w:numId w:val="4"/>
        </w:numPr>
        <w:spacing w:after="0" w:line="240" w:lineRule="auto"/>
        <w:rPr>
          <w:rFonts w:cs="Arial"/>
          <w:lang w:val="en-US"/>
        </w:rPr>
      </w:pPr>
      <w:r w:rsidRPr="009739F7">
        <w:rPr>
          <w:rFonts w:eastAsia="Calibri" w:cs="Arial"/>
          <w:b/>
          <w:szCs w:val="20"/>
          <w:lang w:val="en-US"/>
        </w:rPr>
        <w:t>Evaluate the design elements</w:t>
      </w:r>
      <w:r w:rsidRPr="009739F7">
        <w:rPr>
          <w:rFonts w:eastAsia="Calibri" w:cs="Arial"/>
          <w:szCs w:val="20"/>
          <w:lang w:val="en-US"/>
        </w:rPr>
        <w:t xml:space="preserve"> </w:t>
      </w:r>
      <w:r w:rsidR="005B7A91" w:rsidRPr="009739F7">
        <w:rPr>
          <w:rFonts w:eastAsia="Calibri" w:cs="Arial"/>
          <w:szCs w:val="20"/>
          <w:lang w:val="en-US"/>
        </w:rPr>
        <w:t>that</w:t>
      </w:r>
      <w:r w:rsidRPr="009739F7">
        <w:rPr>
          <w:rFonts w:eastAsia="Calibri" w:cs="Arial"/>
          <w:szCs w:val="20"/>
          <w:lang w:val="en-US"/>
        </w:rPr>
        <w:t xml:space="preserve"> he</w:t>
      </w:r>
      <w:r w:rsidRPr="009739F7">
        <w:rPr>
          <w:rFonts w:eastAsia="Calibri" w:cs="Arial"/>
          <w:lang w:val="en-US"/>
        </w:rPr>
        <w:t>l</w:t>
      </w:r>
      <w:r w:rsidR="00094F79" w:rsidRPr="009739F7">
        <w:rPr>
          <w:rFonts w:cs="Arial"/>
          <w:lang w:val="en-US"/>
        </w:rPr>
        <w:t xml:space="preserve">p ensure that participants learn about leadership and put it into practice </w:t>
      </w:r>
    </w:p>
    <w:p w:rsidR="009371BD" w:rsidRPr="009739F7" w:rsidRDefault="000B4C68" w:rsidP="009739F7">
      <w:pPr>
        <w:pStyle w:val="ListParagraph"/>
        <w:numPr>
          <w:ilvl w:val="0"/>
          <w:numId w:val="4"/>
        </w:numPr>
        <w:spacing w:after="0" w:line="240" w:lineRule="auto"/>
        <w:rPr>
          <w:rFonts w:cs="Arial"/>
          <w:lang w:val="en-US"/>
        </w:rPr>
      </w:pPr>
      <w:r w:rsidRPr="009739F7">
        <w:rPr>
          <w:rFonts w:cs="Arial"/>
          <w:lang w:val="en-US"/>
        </w:rPr>
        <w:t xml:space="preserve">Analyze </w:t>
      </w:r>
      <w:r w:rsidR="00094F79" w:rsidRPr="009739F7">
        <w:rPr>
          <w:rFonts w:cs="Arial"/>
          <w:lang w:val="en-US"/>
        </w:rPr>
        <w:t xml:space="preserve">how these design elements encourage </w:t>
      </w:r>
      <w:r w:rsidR="00094F79" w:rsidRPr="009739F7">
        <w:rPr>
          <w:rFonts w:cs="Arial"/>
          <w:b/>
          <w:lang w:val="en-US"/>
        </w:rPr>
        <w:t>learning and transfer</w:t>
      </w:r>
    </w:p>
    <w:p w:rsidR="00530E6E" w:rsidRPr="009739F7" w:rsidRDefault="00530E6E" w:rsidP="009739F7">
      <w:pPr>
        <w:spacing w:after="0" w:line="240" w:lineRule="auto"/>
        <w:rPr>
          <w:rFonts w:cs="Arial"/>
          <w:lang w:val="en-US"/>
        </w:rPr>
      </w:pPr>
    </w:p>
    <w:p w:rsidR="00A005D9" w:rsidRPr="009739F7" w:rsidRDefault="00A005D9" w:rsidP="009739F7">
      <w:pPr>
        <w:spacing w:after="0" w:line="240" w:lineRule="auto"/>
        <w:rPr>
          <w:rFonts w:eastAsia="Lucida Sans Unicode" w:cs="Arial"/>
          <w:b/>
          <w:kern w:val="1"/>
          <w:lang w:val="en-US" w:eastAsia="ar-SA"/>
        </w:rPr>
      </w:pPr>
      <w:r w:rsidRPr="009739F7">
        <w:rPr>
          <w:rFonts w:cs="Arial"/>
          <w:b/>
          <w:u w:val="single"/>
          <w:lang w:val="en-US"/>
        </w:rPr>
        <w:lastRenderedPageBreak/>
        <w:t>Requirements of Submission</w:t>
      </w:r>
      <w:r w:rsidRPr="009739F7">
        <w:rPr>
          <w:rFonts w:cs="Arial"/>
          <w:b/>
          <w:lang w:val="en-US"/>
        </w:rPr>
        <w:t>:</w:t>
      </w:r>
      <w:r w:rsidR="009739F7">
        <w:rPr>
          <w:rFonts w:eastAsia="Lucida Sans Unicode" w:cs="Arial"/>
          <w:b/>
          <w:kern w:val="1"/>
          <w:lang w:val="en-US" w:eastAsia="ar-SA"/>
        </w:rPr>
        <w:t xml:space="preserve"> </w:t>
      </w:r>
      <w:r w:rsidRPr="009739F7">
        <w:rPr>
          <w:rFonts w:cs="Arial"/>
          <w:spacing w:val="-2"/>
          <w:lang w:val="en-US"/>
        </w:rPr>
        <w:t xml:space="preserve">Case Study Two </w:t>
      </w:r>
      <w:r w:rsidR="00530E6E" w:rsidRPr="009739F7">
        <w:rPr>
          <w:rFonts w:cs="Arial"/>
          <w:spacing w:val="-2"/>
          <w:lang w:val="en-US"/>
        </w:rPr>
        <w:t xml:space="preserve">must follow these formatting guidelines: double spacing, 12-point Times New Roman font, one-inch margins, and </w:t>
      </w:r>
      <w:hyperlink r:id="rId16" w:history="1">
        <w:r w:rsidR="00530E6E" w:rsidRPr="009739F7">
          <w:rPr>
            <w:rStyle w:val="Hyperlink"/>
            <w:rFonts w:cs="Arial"/>
            <w:spacing w:val="-2"/>
            <w:lang w:val="en-US"/>
          </w:rPr>
          <w:t>APA citations</w:t>
        </w:r>
      </w:hyperlink>
      <w:r w:rsidR="00530E6E" w:rsidRPr="009739F7">
        <w:rPr>
          <w:rFonts w:cs="Arial"/>
          <w:spacing w:val="-2"/>
          <w:lang w:val="en-US"/>
        </w:rPr>
        <w:t>. Page length requirements: 2–3 pages, not including cover page and references</w:t>
      </w:r>
      <w:r w:rsidRPr="009739F7">
        <w:rPr>
          <w:rFonts w:cs="Arial"/>
          <w:spacing w:val="-2"/>
          <w:lang w:val="en-US"/>
        </w:rPr>
        <w:t>.</w:t>
      </w:r>
    </w:p>
    <w:p w:rsidR="00A005D9" w:rsidRPr="009739F7" w:rsidRDefault="00A005D9" w:rsidP="009739F7">
      <w:pPr>
        <w:spacing w:after="0" w:line="240" w:lineRule="auto"/>
        <w:rPr>
          <w:rFonts w:cs="Arial"/>
          <w:spacing w:val="-2"/>
          <w:lang w:val="en-US"/>
        </w:rPr>
      </w:pPr>
    </w:p>
    <w:p w:rsidR="00A005D9" w:rsidRPr="009739F7" w:rsidRDefault="00A005D9" w:rsidP="009739F7">
      <w:pPr>
        <w:spacing w:after="0" w:line="240" w:lineRule="auto"/>
        <w:rPr>
          <w:rFonts w:cs="Arial"/>
          <w:u w:val="single"/>
          <w:lang w:val="en-US"/>
        </w:rPr>
      </w:pPr>
      <w:r w:rsidRPr="009739F7">
        <w:rPr>
          <w:rFonts w:cs="Arial"/>
          <w:b/>
          <w:u w:val="single"/>
          <w:lang w:val="en-US"/>
        </w:rPr>
        <w:t>Instructor feedback</w:t>
      </w:r>
      <w:r w:rsidRPr="009739F7">
        <w:rPr>
          <w:rFonts w:cs="Arial"/>
          <w:lang w:val="en-US"/>
        </w:rPr>
        <w:t>: Students can find their feedback in the Grade Center.</w:t>
      </w:r>
    </w:p>
    <w:p w:rsidR="00A005D9" w:rsidRPr="009739F7" w:rsidRDefault="00A005D9" w:rsidP="009739F7">
      <w:pPr>
        <w:spacing w:after="0" w:line="240" w:lineRule="auto"/>
        <w:rPr>
          <w:rFonts w:cs="Arial"/>
          <w:spacing w:val="-2"/>
          <w:lang w:val="en-US"/>
        </w:rPr>
      </w:pPr>
    </w:p>
    <w:p w:rsidR="00B946DA" w:rsidRPr="009739F7" w:rsidRDefault="002B5996" w:rsidP="009739F7">
      <w:pPr>
        <w:spacing w:after="0" w:line="240" w:lineRule="auto"/>
        <w:jc w:val="center"/>
        <w:rPr>
          <w:rFonts w:cs="Arial"/>
          <w:b/>
          <w:sz w:val="24"/>
          <w:lang w:val="en-US"/>
        </w:rPr>
      </w:pPr>
      <w:r w:rsidRPr="009739F7">
        <w:rPr>
          <w:rFonts w:cs="Arial"/>
          <w:b/>
          <w:spacing w:val="-2"/>
          <w:sz w:val="24"/>
          <w:lang w:val="en-US"/>
        </w:rPr>
        <w:t>Rubric</w:t>
      </w:r>
    </w:p>
    <w:p w:rsidR="004E1DC3" w:rsidRPr="009739F7" w:rsidRDefault="004E1DC3" w:rsidP="009739F7">
      <w:pPr>
        <w:spacing w:after="0" w:line="240" w:lineRule="auto"/>
        <w:rPr>
          <w:rFonts w:cs="Arial"/>
          <w:lang w:val="en-US"/>
        </w:rPr>
      </w:pPr>
    </w:p>
    <w:tbl>
      <w:tblPr>
        <w:tblW w:w="1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2857"/>
        <w:gridCol w:w="2858"/>
        <w:gridCol w:w="2857"/>
        <w:gridCol w:w="2858"/>
        <w:gridCol w:w="1217"/>
      </w:tblGrid>
      <w:tr w:rsidR="00530E6E" w:rsidRPr="009739F7" w:rsidTr="009739F7">
        <w:trPr>
          <w:cantSplit/>
          <w:jc w:val="center"/>
        </w:trPr>
        <w:tc>
          <w:tcPr>
            <w:tcW w:w="2028" w:type="dxa"/>
            <w:shd w:val="clear" w:color="auto" w:fill="auto"/>
          </w:tcPr>
          <w:p w:rsidR="00530E6E" w:rsidRPr="009739F7" w:rsidRDefault="00530E6E" w:rsidP="009739F7">
            <w:pPr>
              <w:snapToGrid w:val="0"/>
              <w:spacing w:after="0" w:line="240" w:lineRule="auto"/>
              <w:jc w:val="center"/>
              <w:rPr>
                <w:rFonts w:asciiTheme="minorHAnsi" w:eastAsiaTheme="minorHAnsi" w:hAnsiTheme="minorHAnsi" w:cs="Arial"/>
                <w:b/>
                <w:sz w:val="20"/>
                <w:szCs w:val="20"/>
                <w:lang w:val="en-US" w:eastAsia="en-US"/>
              </w:rPr>
            </w:pPr>
            <w:r w:rsidRPr="009739F7">
              <w:rPr>
                <w:rFonts w:asciiTheme="minorHAnsi" w:eastAsiaTheme="minorHAnsi" w:hAnsiTheme="minorHAnsi" w:cs="Arial"/>
                <w:b/>
                <w:sz w:val="20"/>
                <w:szCs w:val="20"/>
                <w:lang w:val="en-US" w:eastAsia="en-US"/>
              </w:rPr>
              <w:t>Critical Elements</w:t>
            </w:r>
          </w:p>
        </w:tc>
        <w:tc>
          <w:tcPr>
            <w:tcW w:w="2857" w:type="dxa"/>
            <w:shd w:val="clear" w:color="auto" w:fill="auto"/>
          </w:tcPr>
          <w:p w:rsidR="00530E6E" w:rsidRPr="009739F7" w:rsidRDefault="009739F7" w:rsidP="009739F7">
            <w:pPr>
              <w:snapToGrid w:val="0"/>
              <w:spacing w:after="0" w:line="240" w:lineRule="auto"/>
              <w:jc w:val="center"/>
              <w:rPr>
                <w:rFonts w:asciiTheme="minorHAnsi" w:eastAsiaTheme="minorHAnsi" w:hAnsiTheme="minorHAnsi" w:cs="Arial"/>
                <w:b/>
                <w:sz w:val="20"/>
                <w:szCs w:val="20"/>
                <w:lang w:val="en-US" w:eastAsia="en-US"/>
              </w:rPr>
            </w:pPr>
            <w:r w:rsidRPr="009739F7">
              <w:rPr>
                <w:rFonts w:asciiTheme="minorHAnsi" w:eastAsiaTheme="minorHAnsi" w:hAnsiTheme="minorHAnsi" w:cs="Arial"/>
                <w:b/>
                <w:sz w:val="20"/>
                <w:szCs w:val="20"/>
                <w:lang w:val="en-US" w:eastAsia="en-US"/>
              </w:rPr>
              <w:t>Exemplary</w:t>
            </w:r>
          </w:p>
        </w:tc>
        <w:tc>
          <w:tcPr>
            <w:tcW w:w="2858" w:type="dxa"/>
            <w:shd w:val="clear" w:color="auto" w:fill="auto"/>
          </w:tcPr>
          <w:p w:rsidR="00530E6E" w:rsidRPr="009739F7" w:rsidRDefault="00530E6E" w:rsidP="009739F7">
            <w:pPr>
              <w:snapToGrid w:val="0"/>
              <w:spacing w:after="0" w:line="240" w:lineRule="auto"/>
              <w:jc w:val="center"/>
              <w:rPr>
                <w:rFonts w:asciiTheme="minorHAnsi" w:eastAsiaTheme="minorHAnsi" w:hAnsiTheme="minorHAnsi" w:cs="Arial"/>
                <w:b/>
                <w:sz w:val="20"/>
                <w:szCs w:val="20"/>
                <w:lang w:val="en-US" w:eastAsia="en-US"/>
              </w:rPr>
            </w:pPr>
            <w:r w:rsidRPr="009739F7">
              <w:rPr>
                <w:rFonts w:asciiTheme="minorHAnsi" w:eastAsiaTheme="minorHAnsi" w:hAnsiTheme="minorHAnsi" w:cs="Arial"/>
                <w:b/>
                <w:sz w:val="20"/>
                <w:szCs w:val="20"/>
                <w:lang w:val="en-US" w:eastAsia="en-US"/>
              </w:rPr>
              <w:t>Proficient</w:t>
            </w:r>
          </w:p>
        </w:tc>
        <w:tc>
          <w:tcPr>
            <w:tcW w:w="2857" w:type="dxa"/>
            <w:shd w:val="clear" w:color="auto" w:fill="auto"/>
          </w:tcPr>
          <w:p w:rsidR="00530E6E" w:rsidRPr="009739F7" w:rsidRDefault="00530E6E" w:rsidP="009739F7">
            <w:pPr>
              <w:snapToGrid w:val="0"/>
              <w:spacing w:after="0" w:line="240" w:lineRule="auto"/>
              <w:jc w:val="center"/>
              <w:rPr>
                <w:rFonts w:asciiTheme="minorHAnsi" w:eastAsiaTheme="minorHAnsi" w:hAnsiTheme="minorHAnsi" w:cs="Arial"/>
                <w:b/>
                <w:sz w:val="20"/>
                <w:szCs w:val="20"/>
                <w:lang w:val="en-US" w:eastAsia="en-US"/>
              </w:rPr>
            </w:pPr>
            <w:r w:rsidRPr="009739F7">
              <w:rPr>
                <w:rFonts w:asciiTheme="minorHAnsi" w:eastAsiaTheme="minorHAnsi" w:hAnsiTheme="minorHAnsi" w:cs="Arial"/>
                <w:b/>
                <w:sz w:val="20"/>
                <w:szCs w:val="20"/>
                <w:lang w:val="en-US" w:eastAsia="en-US"/>
              </w:rPr>
              <w:t>Needs Improvement</w:t>
            </w:r>
          </w:p>
        </w:tc>
        <w:tc>
          <w:tcPr>
            <w:tcW w:w="2858" w:type="dxa"/>
            <w:shd w:val="clear" w:color="auto" w:fill="auto"/>
          </w:tcPr>
          <w:p w:rsidR="00530E6E" w:rsidRPr="009739F7" w:rsidRDefault="00530E6E" w:rsidP="009739F7">
            <w:pPr>
              <w:snapToGrid w:val="0"/>
              <w:spacing w:after="0" w:line="240" w:lineRule="auto"/>
              <w:jc w:val="center"/>
              <w:rPr>
                <w:rFonts w:asciiTheme="minorHAnsi" w:eastAsiaTheme="minorHAnsi" w:hAnsiTheme="minorHAnsi" w:cs="Arial"/>
                <w:b/>
                <w:sz w:val="20"/>
                <w:szCs w:val="20"/>
                <w:lang w:val="en-US" w:eastAsia="en-US"/>
              </w:rPr>
            </w:pPr>
            <w:r w:rsidRPr="009739F7">
              <w:rPr>
                <w:rFonts w:asciiTheme="minorHAnsi" w:eastAsiaTheme="minorHAnsi" w:hAnsiTheme="minorHAnsi" w:cs="Arial"/>
                <w:b/>
                <w:sz w:val="20"/>
                <w:szCs w:val="20"/>
                <w:lang w:val="en-US" w:eastAsia="en-US"/>
              </w:rPr>
              <w:t>Not Evident</w:t>
            </w:r>
          </w:p>
        </w:tc>
        <w:tc>
          <w:tcPr>
            <w:tcW w:w="1217" w:type="dxa"/>
            <w:shd w:val="clear" w:color="auto" w:fill="auto"/>
          </w:tcPr>
          <w:p w:rsidR="00530E6E" w:rsidRPr="009739F7" w:rsidRDefault="00530E6E" w:rsidP="009739F7">
            <w:pPr>
              <w:snapToGrid w:val="0"/>
              <w:spacing w:after="0" w:line="240" w:lineRule="auto"/>
              <w:jc w:val="center"/>
              <w:rPr>
                <w:rFonts w:asciiTheme="minorHAnsi" w:eastAsiaTheme="minorHAnsi" w:hAnsiTheme="minorHAnsi" w:cs="Arial"/>
                <w:b/>
                <w:sz w:val="20"/>
                <w:szCs w:val="20"/>
                <w:lang w:val="en-US" w:eastAsia="en-US"/>
              </w:rPr>
            </w:pPr>
            <w:r w:rsidRPr="009739F7">
              <w:rPr>
                <w:rFonts w:asciiTheme="minorHAnsi" w:eastAsiaTheme="minorHAnsi" w:hAnsiTheme="minorHAnsi" w:cs="Arial"/>
                <w:b/>
                <w:sz w:val="20"/>
                <w:szCs w:val="20"/>
                <w:lang w:val="en-US" w:eastAsia="en-US"/>
              </w:rPr>
              <w:t>Value</w:t>
            </w:r>
          </w:p>
        </w:tc>
      </w:tr>
      <w:tr w:rsidR="00530E6E" w:rsidRPr="009739F7" w:rsidTr="009739F7">
        <w:trPr>
          <w:cantSplit/>
          <w:jc w:val="center"/>
        </w:trPr>
        <w:tc>
          <w:tcPr>
            <w:tcW w:w="2028" w:type="dxa"/>
            <w:shd w:val="clear" w:color="auto" w:fill="auto"/>
          </w:tcPr>
          <w:p w:rsidR="00530E6E" w:rsidRPr="009739F7" w:rsidRDefault="00094F79" w:rsidP="009739F7">
            <w:pPr>
              <w:snapToGrid w:val="0"/>
              <w:spacing w:after="0" w:line="240" w:lineRule="auto"/>
              <w:jc w:val="center"/>
              <w:rPr>
                <w:rFonts w:asciiTheme="minorHAnsi" w:eastAsiaTheme="minorHAnsi" w:hAnsiTheme="minorHAnsi" w:cs="Arial"/>
                <w:b/>
                <w:sz w:val="20"/>
                <w:szCs w:val="20"/>
                <w:lang w:val="en-US" w:eastAsia="en-US"/>
              </w:rPr>
            </w:pPr>
            <w:r w:rsidRPr="009739F7">
              <w:rPr>
                <w:rFonts w:asciiTheme="minorHAnsi" w:eastAsiaTheme="minorHAnsi" w:hAnsiTheme="minorHAnsi" w:cs="Arial"/>
                <w:b/>
                <w:sz w:val="20"/>
                <w:szCs w:val="20"/>
                <w:lang w:val="en-US" w:eastAsia="en-US"/>
              </w:rPr>
              <w:t xml:space="preserve">Elements for </w:t>
            </w:r>
            <w:r w:rsidR="009739F7">
              <w:rPr>
                <w:rFonts w:asciiTheme="minorHAnsi" w:hAnsiTheme="minorHAnsi" w:cs="Arial"/>
                <w:b/>
                <w:sz w:val="20"/>
                <w:szCs w:val="20"/>
                <w:lang w:val="en-US"/>
              </w:rPr>
              <w:t>Leadership and P</w:t>
            </w:r>
            <w:r w:rsidRPr="009739F7">
              <w:rPr>
                <w:rFonts w:asciiTheme="minorHAnsi" w:hAnsiTheme="minorHAnsi" w:cs="Arial"/>
                <w:b/>
                <w:sz w:val="20"/>
                <w:szCs w:val="20"/>
                <w:lang w:val="en-US"/>
              </w:rPr>
              <w:t>ractice</w:t>
            </w:r>
            <w:r w:rsidR="00530E6E" w:rsidRPr="009739F7">
              <w:rPr>
                <w:rFonts w:asciiTheme="minorHAnsi" w:eastAsiaTheme="minorHAnsi" w:hAnsiTheme="minorHAnsi" w:cs="Arial"/>
                <w:b/>
                <w:sz w:val="20"/>
                <w:szCs w:val="20"/>
                <w:lang w:val="en-US" w:eastAsia="en-US"/>
              </w:rPr>
              <w:t xml:space="preserve"> </w:t>
            </w:r>
          </w:p>
        </w:tc>
        <w:tc>
          <w:tcPr>
            <w:tcW w:w="2857" w:type="dxa"/>
            <w:shd w:val="clear" w:color="auto" w:fill="auto"/>
          </w:tcPr>
          <w:p w:rsidR="00BF6E7D" w:rsidRPr="009739F7" w:rsidRDefault="00530E6E" w:rsidP="009739F7">
            <w:pPr>
              <w:spacing w:after="0" w:line="240" w:lineRule="auto"/>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 xml:space="preserve">Submission meets “Proficient” and extends explanation to include additional </w:t>
            </w:r>
            <w:r w:rsidR="00813F23" w:rsidRPr="009739F7">
              <w:rPr>
                <w:rFonts w:asciiTheme="minorHAnsi" w:eastAsiaTheme="minorHAnsi" w:hAnsiTheme="minorHAnsi" w:cs="Arial"/>
                <w:sz w:val="20"/>
                <w:szCs w:val="20"/>
                <w:lang w:val="en-US" w:eastAsia="en-US"/>
              </w:rPr>
              <w:t>leadership and</w:t>
            </w:r>
            <w:r w:rsidR="00B14289" w:rsidRPr="009739F7">
              <w:rPr>
                <w:rFonts w:asciiTheme="minorHAnsi" w:eastAsiaTheme="minorHAnsi" w:hAnsiTheme="minorHAnsi" w:cs="Arial"/>
                <w:sz w:val="20"/>
                <w:szCs w:val="20"/>
                <w:lang w:val="en-US" w:eastAsia="en-US"/>
              </w:rPr>
              <w:t xml:space="preserve"> its</w:t>
            </w:r>
            <w:r w:rsidR="00813F23" w:rsidRPr="009739F7">
              <w:rPr>
                <w:rFonts w:asciiTheme="minorHAnsi" w:eastAsiaTheme="minorHAnsi" w:hAnsiTheme="minorHAnsi" w:cs="Arial"/>
                <w:sz w:val="20"/>
                <w:szCs w:val="20"/>
                <w:lang w:val="en-US" w:eastAsia="en-US"/>
              </w:rPr>
              <w:t xml:space="preserve"> practice</w:t>
            </w:r>
            <w:r w:rsidR="009739F7" w:rsidRPr="009739F7">
              <w:rPr>
                <w:rFonts w:asciiTheme="minorHAnsi" w:eastAsiaTheme="minorHAnsi" w:hAnsiTheme="minorHAnsi" w:cs="Arial"/>
                <w:sz w:val="20"/>
                <w:szCs w:val="20"/>
                <w:lang w:val="en-US" w:eastAsia="en-US"/>
              </w:rPr>
              <w:t xml:space="preserve"> </w:t>
            </w:r>
          </w:p>
          <w:p w:rsidR="00530E6E" w:rsidRPr="009739F7" w:rsidRDefault="00A35F3C" w:rsidP="009739F7">
            <w:pPr>
              <w:spacing w:after="0" w:line="240" w:lineRule="auto"/>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w:t>
            </w:r>
            <w:r w:rsidR="000B4C68" w:rsidRPr="009739F7">
              <w:rPr>
                <w:rFonts w:asciiTheme="minorHAnsi" w:eastAsiaTheme="minorHAnsi" w:hAnsiTheme="minorHAnsi" w:cs="Arial"/>
                <w:sz w:val="20"/>
                <w:szCs w:val="20"/>
                <w:lang w:val="en-US" w:eastAsia="en-US"/>
              </w:rPr>
              <w:t>36</w:t>
            </w:r>
            <w:r w:rsidR="00BF6E7D" w:rsidRPr="009739F7">
              <w:rPr>
                <w:rFonts w:asciiTheme="minorHAnsi" w:eastAsiaTheme="minorHAnsi" w:hAnsiTheme="minorHAnsi" w:cs="Arial"/>
                <w:sz w:val="20"/>
                <w:szCs w:val="20"/>
                <w:lang w:val="en-US" w:eastAsia="en-US"/>
              </w:rPr>
              <w:t>-</w:t>
            </w:r>
            <w:r w:rsidR="000B4C68" w:rsidRPr="009739F7">
              <w:rPr>
                <w:rFonts w:asciiTheme="minorHAnsi" w:eastAsiaTheme="minorHAnsi" w:hAnsiTheme="minorHAnsi" w:cs="Arial"/>
                <w:sz w:val="20"/>
                <w:szCs w:val="20"/>
                <w:lang w:val="en-US" w:eastAsia="en-US"/>
              </w:rPr>
              <w:t>40</w:t>
            </w:r>
            <w:r w:rsidRPr="009739F7">
              <w:rPr>
                <w:rFonts w:asciiTheme="minorHAnsi" w:eastAsiaTheme="minorHAnsi" w:hAnsiTheme="minorHAnsi" w:cs="Arial"/>
                <w:sz w:val="20"/>
                <w:szCs w:val="20"/>
                <w:lang w:val="en-US" w:eastAsia="en-US"/>
              </w:rPr>
              <w:t>)</w:t>
            </w:r>
          </w:p>
        </w:tc>
        <w:tc>
          <w:tcPr>
            <w:tcW w:w="2858" w:type="dxa"/>
            <w:shd w:val="clear" w:color="auto" w:fill="auto"/>
          </w:tcPr>
          <w:p w:rsidR="00724621" w:rsidRPr="009739F7" w:rsidRDefault="000B4C68" w:rsidP="009739F7">
            <w:pPr>
              <w:spacing w:after="0" w:line="240" w:lineRule="auto"/>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Evaluates the</w:t>
            </w:r>
            <w:r w:rsidR="00813F23" w:rsidRPr="009739F7">
              <w:rPr>
                <w:rFonts w:asciiTheme="minorHAnsi" w:eastAsiaTheme="minorHAnsi" w:hAnsiTheme="minorHAnsi" w:cs="Arial"/>
                <w:sz w:val="20"/>
                <w:szCs w:val="20"/>
                <w:lang w:val="en-US" w:eastAsia="en-US"/>
              </w:rPr>
              <w:t xml:space="preserve"> design</w:t>
            </w:r>
            <w:r w:rsidR="00530E6E" w:rsidRPr="009739F7">
              <w:rPr>
                <w:rFonts w:asciiTheme="minorHAnsi" w:eastAsiaTheme="minorHAnsi" w:hAnsiTheme="minorHAnsi" w:cs="Arial"/>
                <w:sz w:val="20"/>
                <w:szCs w:val="20"/>
                <w:lang w:val="en-US" w:eastAsia="en-US"/>
              </w:rPr>
              <w:t xml:space="preserve"> </w:t>
            </w:r>
            <w:r w:rsidR="00094F79" w:rsidRPr="009739F7">
              <w:rPr>
                <w:rFonts w:asciiTheme="minorHAnsi" w:eastAsiaTheme="minorHAnsi" w:hAnsiTheme="minorHAnsi" w:cs="Arial"/>
                <w:sz w:val="20"/>
                <w:szCs w:val="20"/>
                <w:lang w:val="en-US" w:eastAsia="en-US"/>
              </w:rPr>
              <w:t xml:space="preserve">elements of leadership </w:t>
            </w:r>
            <w:r w:rsidR="00813F23" w:rsidRPr="009739F7">
              <w:rPr>
                <w:rFonts w:asciiTheme="minorHAnsi" w:eastAsiaTheme="minorHAnsi" w:hAnsiTheme="minorHAnsi" w:cs="Arial"/>
                <w:sz w:val="20"/>
                <w:szCs w:val="20"/>
                <w:lang w:val="en-US" w:eastAsia="en-US"/>
              </w:rPr>
              <w:t xml:space="preserve">and </w:t>
            </w:r>
            <w:r w:rsidRPr="009739F7">
              <w:rPr>
                <w:rFonts w:asciiTheme="minorHAnsi" w:eastAsiaTheme="minorHAnsi" w:hAnsiTheme="minorHAnsi" w:cs="Arial"/>
                <w:sz w:val="20"/>
                <w:szCs w:val="20"/>
                <w:lang w:val="en-US" w:eastAsia="en-US"/>
              </w:rPr>
              <w:t xml:space="preserve">ensures it is put into </w:t>
            </w:r>
            <w:r w:rsidR="00094F79" w:rsidRPr="009739F7">
              <w:rPr>
                <w:rFonts w:asciiTheme="minorHAnsi" w:eastAsiaTheme="minorHAnsi" w:hAnsiTheme="minorHAnsi" w:cs="Arial"/>
                <w:sz w:val="20"/>
                <w:szCs w:val="20"/>
                <w:lang w:val="en-US" w:eastAsia="en-US"/>
              </w:rPr>
              <w:t>practice</w:t>
            </w:r>
            <w:r w:rsidR="009739F7" w:rsidRPr="009739F7">
              <w:rPr>
                <w:rFonts w:asciiTheme="minorHAnsi" w:eastAsiaTheme="minorHAnsi" w:hAnsiTheme="minorHAnsi" w:cs="Arial"/>
                <w:sz w:val="20"/>
                <w:szCs w:val="20"/>
                <w:lang w:val="en-US" w:eastAsia="en-US"/>
              </w:rPr>
              <w:t xml:space="preserve"> </w:t>
            </w:r>
          </w:p>
          <w:p w:rsidR="00BF6E7D" w:rsidRPr="009739F7" w:rsidRDefault="009739F7" w:rsidP="009739F7">
            <w:pPr>
              <w:spacing w:after="0" w:line="240" w:lineRule="auto"/>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 xml:space="preserve"> </w:t>
            </w:r>
          </w:p>
          <w:p w:rsidR="00530E6E" w:rsidRPr="009739F7" w:rsidRDefault="00A35F3C" w:rsidP="009739F7">
            <w:pPr>
              <w:spacing w:after="0" w:line="240" w:lineRule="auto"/>
              <w:rPr>
                <w:rFonts w:asciiTheme="minorHAnsi" w:eastAsiaTheme="minorHAnsi" w:hAnsiTheme="minorHAnsi" w:cs="Arial"/>
                <w:sz w:val="20"/>
                <w:szCs w:val="20"/>
                <w:lang w:val="en-US" w:eastAsia="en-US"/>
              </w:rPr>
            </w:pPr>
            <w:r w:rsidRPr="009739F7">
              <w:rPr>
                <w:rFonts w:asciiTheme="minorHAnsi" w:hAnsiTheme="minorHAnsi" w:cs="Arial"/>
                <w:sz w:val="20"/>
                <w:szCs w:val="20"/>
                <w:lang w:val="en-US"/>
              </w:rPr>
              <w:t>(</w:t>
            </w:r>
            <w:r w:rsidR="000B4C68" w:rsidRPr="009739F7">
              <w:rPr>
                <w:rFonts w:asciiTheme="minorHAnsi" w:hAnsiTheme="minorHAnsi" w:cs="Arial"/>
                <w:sz w:val="20"/>
                <w:szCs w:val="20"/>
                <w:lang w:val="en-US"/>
              </w:rPr>
              <w:t>32</w:t>
            </w:r>
            <w:r w:rsidR="00BF6E7D" w:rsidRPr="009739F7">
              <w:rPr>
                <w:rFonts w:asciiTheme="minorHAnsi" w:hAnsiTheme="minorHAnsi" w:cs="Arial"/>
                <w:sz w:val="20"/>
                <w:szCs w:val="20"/>
                <w:lang w:val="en-US"/>
              </w:rPr>
              <w:t>-</w:t>
            </w:r>
            <w:r w:rsidR="000B4C68" w:rsidRPr="009739F7">
              <w:rPr>
                <w:rFonts w:asciiTheme="minorHAnsi" w:hAnsiTheme="minorHAnsi" w:cs="Arial"/>
                <w:sz w:val="20"/>
                <w:szCs w:val="20"/>
                <w:lang w:val="en-US"/>
              </w:rPr>
              <w:t>35</w:t>
            </w:r>
            <w:r w:rsidRPr="009739F7">
              <w:rPr>
                <w:rFonts w:asciiTheme="minorHAnsi" w:hAnsiTheme="minorHAnsi" w:cs="Arial"/>
                <w:sz w:val="20"/>
                <w:szCs w:val="20"/>
                <w:lang w:val="en-US"/>
              </w:rPr>
              <w:t>)</w:t>
            </w:r>
          </w:p>
        </w:tc>
        <w:tc>
          <w:tcPr>
            <w:tcW w:w="2857" w:type="dxa"/>
            <w:shd w:val="clear" w:color="auto" w:fill="auto"/>
          </w:tcPr>
          <w:p w:rsidR="00183276" w:rsidRPr="009739F7" w:rsidRDefault="000B4C68" w:rsidP="009739F7">
            <w:pPr>
              <w:spacing w:after="0" w:line="240" w:lineRule="auto"/>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Attempts to evaluate</w:t>
            </w:r>
            <w:r w:rsidR="00183276" w:rsidRPr="009739F7">
              <w:rPr>
                <w:rFonts w:asciiTheme="minorHAnsi" w:eastAsiaTheme="minorHAnsi" w:hAnsiTheme="minorHAnsi" w:cs="Arial"/>
                <w:sz w:val="20"/>
                <w:szCs w:val="20"/>
                <w:lang w:val="en-US" w:eastAsia="en-US"/>
              </w:rPr>
              <w:t xml:space="preserve"> </w:t>
            </w:r>
            <w:r w:rsidR="00B14289" w:rsidRPr="009739F7">
              <w:rPr>
                <w:rFonts w:asciiTheme="minorHAnsi" w:eastAsiaTheme="minorHAnsi" w:hAnsiTheme="minorHAnsi" w:cs="Arial"/>
                <w:sz w:val="20"/>
                <w:szCs w:val="20"/>
                <w:lang w:val="en-US" w:eastAsia="en-US"/>
              </w:rPr>
              <w:t xml:space="preserve">design </w:t>
            </w:r>
            <w:r w:rsidR="00094F79" w:rsidRPr="009739F7">
              <w:rPr>
                <w:rFonts w:asciiTheme="minorHAnsi" w:eastAsiaTheme="minorHAnsi" w:hAnsiTheme="minorHAnsi" w:cs="Arial"/>
                <w:sz w:val="20"/>
                <w:szCs w:val="20"/>
                <w:lang w:val="en-US" w:eastAsia="en-US"/>
              </w:rPr>
              <w:t>element</w:t>
            </w:r>
            <w:r w:rsidRPr="009739F7">
              <w:rPr>
                <w:rFonts w:asciiTheme="minorHAnsi" w:eastAsiaTheme="minorHAnsi" w:hAnsiTheme="minorHAnsi" w:cs="Arial"/>
                <w:sz w:val="20"/>
                <w:szCs w:val="20"/>
                <w:lang w:val="en-US" w:eastAsia="en-US"/>
              </w:rPr>
              <w:t>s</w:t>
            </w:r>
            <w:r w:rsidR="00094F79" w:rsidRPr="009739F7">
              <w:rPr>
                <w:rFonts w:asciiTheme="minorHAnsi" w:eastAsiaTheme="minorHAnsi" w:hAnsiTheme="minorHAnsi" w:cs="Arial"/>
                <w:sz w:val="20"/>
                <w:szCs w:val="20"/>
                <w:lang w:val="en-US" w:eastAsia="en-US"/>
              </w:rPr>
              <w:t xml:space="preserve"> of leadership </w:t>
            </w:r>
            <w:r w:rsidRPr="009739F7">
              <w:rPr>
                <w:rFonts w:asciiTheme="minorHAnsi" w:eastAsiaTheme="minorHAnsi" w:hAnsiTheme="minorHAnsi" w:cs="Arial"/>
                <w:sz w:val="20"/>
                <w:szCs w:val="20"/>
                <w:lang w:val="en-US" w:eastAsia="en-US"/>
              </w:rPr>
              <w:t>and ensures it is put into</w:t>
            </w:r>
            <w:r w:rsidR="00094F79" w:rsidRPr="009739F7">
              <w:rPr>
                <w:rFonts w:asciiTheme="minorHAnsi" w:eastAsiaTheme="minorHAnsi" w:hAnsiTheme="minorHAnsi" w:cs="Arial"/>
                <w:sz w:val="20"/>
                <w:szCs w:val="20"/>
                <w:lang w:val="en-US" w:eastAsia="en-US"/>
              </w:rPr>
              <w:t xml:space="preserve"> practice</w:t>
            </w:r>
          </w:p>
          <w:p w:rsidR="00BF6E7D" w:rsidRPr="009739F7" w:rsidRDefault="009739F7" w:rsidP="009739F7">
            <w:pPr>
              <w:spacing w:after="0" w:line="240" w:lineRule="auto"/>
              <w:rPr>
                <w:rFonts w:asciiTheme="minorHAnsi" w:hAnsiTheme="minorHAnsi" w:cs="Arial"/>
                <w:sz w:val="20"/>
                <w:szCs w:val="20"/>
                <w:lang w:val="en-US"/>
              </w:rPr>
            </w:pPr>
            <w:r w:rsidRPr="009739F7">
              <w:rPr>
                <w:rFonts w:asciiTheme="minorHAnsi" w:hAnsiTheme="minorHAnsi" w:cs="Arial"/>
                <w:sz w:val="20"/>
                <w:szCs w:val="20"/>
                <w:lang w:val="en-US"/>
              </w:rPr>
              <w:t xml:space="preserve"> </w:t>
            </w:r>
          </w:p>
          <w:p w:rsidR="00530E6E" w:rsidRPr="009739F7" w:rsidRDefault="008A0E71" w:rsidP="009739F7">
            <w:pPr>
              <w:spacing w:after="0" w:line="240" w:lineRule="auto"/>
              <w:rPr>
                <w:rFonts w:asciiTheme="minorHAnsi" w:eastAsiaTheme="minorHAnsi" w:hAnsiTheme="minorHAnsi" w:cs="Arial"/>
                <w:sz w:val="20"/>
                <w:szCs w:val="20"/>
                <w:lang w:val="en-US" w:eastAsia="en-US"/>
              </w:rPr>
            </w:pPr>
            <w:r w:rsidRPr="009739F7">
              <w:rPr>
                <w:rFonts w:asciiTheme="minorHAnsi" w:hAnsiTheme="minorHAnsi" w:cs="Arial"/>
                <w:sz w:val="20"/>
                <w:szCs w:val="20"/>
                <w:lang w:val="en-US"/>
              </w:rPr>
              <w:t>(</w:t>
            </w:r>
            <w:r w:rsidR="000B4C68" w:rsidRPr="009739F7">
              <w:rPr>
                <w:rFonts w:asciiTheme="minorHAnsi" w:hAnsiTheme="minorHAnsi" w:cs="Arial"/>
                <w:sz w:val="20"/>
                <w:szCs w:val="20"/>
                <w:lang w:val="en-US"/>
              </w:rPr>
              <w:t>28</w:t>
            </w:r>
            <w:r w:rsidR="00BF6E7D" w:rsidRPr="009739F7">
              <w:rPr>
                <w:rFonts w:asciiTheme="minorHAnsi" w:hAnsiTheme="minorHAnsi" w:cs="Arial"/>
                <w:sz w:val="20"/>
                <w:szCs w:val="20"/>
                <w:lang w:val="en-US"/>
              </w:rPr>
              <w:t>-</w:t>
            </w:r>
            <w:r w:rsidR="000B4C68" w:rsidRPr="009739F7">
              <w:rPr>
                <w:rFonts w:asciiTheme="minorHAnsi" w:hAnsiTheme="minorHAnsi" w:cs="Arial"/>
                <w:sz w:val="20"/>
                <w:szCs w:val="20"/>
                <w:lang w:val="en-US"/>
              </w:rPr>
              <w:t>31</w:t>
            </w:r>
            <w:r w:rsidRPr="009739F7">
              <w:rPr>
                <w:rFonts w:asciiTheme="minorHAnsi" w:hAnsiTheme="minorHAnsi" w:cs="Arial"/>
                <w:sz w:val="20"/>
                <w:szCs w:val="20"/>
                <w:lang w:val="en-US"/>
              </w:rPr>
              <w:t>)</w:t>
            </w:r>
          </w:p>
        </w:tc>
        <w:tc>
          <w:tcPr>
            <w:tcW w:w="2858" w:type="dxa"/>
            <w:shd w:val="clear" w:color="auto" w:fill="auto"/>
          </w:tcPr>
          <w:p w:rsidR="00724621" w:rsidRPr="009739F7" w:rsidRDefault="00530E6E" w:rsidP="009739F7">
            <w:pPr>
              <w:spacing w:after="0" w:line="240" w:lineRule="auto"/>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 xml:space="preserve">Does not </w:t>
            </w:r>
            <w:r w:rsidR="00813F23" w:rsidRPr="009739F7">
              <w:rPr>
                <w:rFonts w:asciiTheme="minorHAnsi" w:eastAsiaTheme="minorHAnsi" w:hAnsiTheme="minorHAnsi" w:cs="Arial"/>
                <w:sz w:val="20"/>
                <w:szCs w:val="20"/>
                <w:lang w:val="en-US" w:eastAsia="en-US"/>
              </w:rPr>
              <w:t>identify design</w:t>
            </w:r>
            <w:r w:rsidRPr="009739F7">
              <w:rPr>
                <w:rFonts w:asciiTheme="minorHAnsi" w:eastAsiaTheme="minorHAnsi" w:hAnsiTheme="minorHAnsi" w:cs="Arial"/>
                <w:sz w:val="20"/>
                <w:szCs w:val="20"/>
                <w:lang w:val="en-US" w:eastAsia="en-US"/>
              </w:rPr>
              <w:t xml:space="preserve"> </w:t>
            </w:r>
            <w:r w:rsidR="00094F79" w:rsidRPr="009739F7">
              <w:rPr>
                <w:rFonts w:asciiTheme="minorHAnsi" w:eastAsiaTheme="minorHAnsi" w:hAnsiTheme="minorHAnsi" w:cs="Arial"/>
                <w:sz w:val="20"/>
                <w:szCs w:val="20"/>
                <w:lang w:val="en-US" w:eastAsia="en-US"/>
              </w:rPr>
              <w:t xml:space="preserve">elements of leadership </w:t>
            </w:r>
            <w:r w:rsidR="00813F23" w:rsidRPr="009739F7">
              <w:rPr>
                <w:rFonts w:asciiTheme="minorHAnsi" w:eastAsiaTheme="minorHAnsi" w:hAnsiTheme="minorHAnsi" w:cs="Arial"/>
                <w:sz w:val="20"/>
                <w:szCs w:val="20"/>
                <w:lang w:val="en-US" w:eastAsia="en-US"/>
              </w:rPr>
              <w:t>and its</w:t>
            </w:r>
            <w:r w:rsidR="00094F79" w:rsidRPr="009739F7">
              <w:rPr>
                <w:rFonts w:asciiTheme="minorHAnsi" w:eastAsiaTheme="minorHAnsi" w:hAnsiTheme="minorHAnsi" w:cs="Arial"/>
                <w:sz w:val="20"/>
                <w:szCs w:val="20"/>
                <w:lang w:val="en-US" w:eastAsia="en-US"/>
              </w:rPr>
              <w:t xml:space="preserve"> practice</w:t>
            </w:r>
          </w:p>
          <w:p w:rsidR="00BF6E7D" w:rsidRPr="009739F7" w:rsidRDefault="009739F7" w:rsidP="009739F7">
            <w:pPr>
              <w:spacing w:after="0" w:line="240" w:lineRule="auto"/>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 xml:space="preserve"> </w:t>
            </w:r>
          </w:p>
          <w:p w:rsidR="00530E6E" w:rsidRPr="009739F7" w:rsidRDefault="00724621" w:rsidP="009739F7">
            <w:pPr>
              <w:spacing w:after="0" w:line="240" w:lineRule="auto"/>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 xml:space="preserve"> </w:t>
            </w:r>
            <w:r w:rsidR="008A0E71" w:rsidRPr="009739F7">
              <w:rPr>
                <w:rFonts w:asciiTheme="minorHAnsi" w:hAnsiTheme="minorHAnsi" w:cs="Arial"/>
                <w:sz w:val="20"/>
                <w:szCs w:val="20"/>
                <w:lang w:val="en-US"/>
              </w:rPr>
              <w:t>(0-</w:t>
            </w:r>
            <w:r w:rsidR="000B4C68" w:rsidRPr="009739F7">
              <w:rPr>
                <w:rFonts w:asciiTheme="minorHAnsi" w:hAnsiTheme="minorHAnsi" w:cs="Arial"/>
                <w:sz w:val="20"/>
                <w:szCs w:val="20"/>
                <w:lang w:val="en-US"/>
              </w:rPr>
              <w:t>27</w:t>
            </w:r>
            <w:r w:rsidR="008A0E71" w:rsidRPr="009739F7">
              <w:rPr>
                <w:rFonts w:asciiTheme="minorHAnsi" w:hAnsiTheme="minorHAnsi" w:cs="Arial"/>
                <w:sz w:val="20"/>
                <w:szCs w:val="20"/>
                <w:lang w:val="en-US"/>
              </w:rPr>
              <w:t>)</w:t>
            </w:r>
          </w:p>
        </w:tc>
        <w:tc>
          <w:tcPr>
            <w:tcW w:w="1217" w:type="dxa"/>
            <w:shd w:val="clear" w:color="auto" w:fill="auto"/>
          </w:tcPr>
          <w:p w:rsidR="00530E6E" w:rsidRPr="009739F7" w:rsidRDefault="000B4C68" w:rsidP="009739F7">
            <w:pPr>
              <w:snapToGrid w:val="0"/>
              <w:spacing w:after="0" w:line="240" w:lineRule="auto"/>
              <w:jc w:val="center"/>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40</w:t>
            </w:r>
          </w:p>
        </w:tc>
      </w:tr>
      <w:tr w:rsidR="00530E6E" w:rsidRPr="009739F7" w:rsidTr="009739F7">
        <w:trPr>
          <w:cantSplit/>
          <w:jc w:val="center"/>
        </w:trPr>
        <w:tc>
          <w:tcPr>
            <w:tcW w:w="2028" w:type="dxa"/>
            <w:shd w:val="clear" w:color="auto" w:fill="auto"/>
          </w:tcPr>
          <w:p w:rsidR="00530E6E" w:rsidRPr="009739F7" w:rsidRDefault="00094F79" w:rsidP="009739F7">
            <w:pPr>
              <w:snapToGrid w:val="0"/>
              <w:spacing w:after="0" w:line="240" w:lineRule="auto"/>
              <w:jc w:val="center"/>
              <w:rPr>
                <w:rFonts w:asciiTheme="minorHAnsi" w:eastAsiaTheme="minorHAnsi" w:hAnsiTheme="minorHAnsi" w:cs="Arial"/>
                <w:sz w:val="20"/>
                <w:szCs w:val="20"/>
                <w:lang w:val="en-US" w:eastAsia="en-US"/>
              </w:rPr>
            </w:pPr>
            <w:r w:rsidRPr="009739F7">
              <w:rPr>
                <w:rFonts w:asciiTheme="minorHAnsi" w:eastAsiaTheme="minorHAnsi" w:hAnsiTheme="minorHAnsi" w:cs="Arial"/>
                <w:b/>
                <w:sz w:val="20"/>
                <w:szCs w:val="20"/>
                <w:lang w:val="en-US" w:eastAsia="en-US"/>
              </w:rPr>
              <w:t>Learning and Transfer Design Elements</w:t>
            </w:r>
            <w:r w:rsidR="00530E6E" w:rsidRPr="009739F7">
              <w:rPr>
                <w:rFonts w:asciiTheme="minorHAnsi" w:eastAsiaTheme="minorHAnsi" w:hAnsiTheme="minorHAnsi" w:cs="Arial"/>
                <w:b/>
                <w:sz w:val="20"/>
                <w:szCs w:val="20"/>
                <w:lang w:val="en-US" w:eastAsia="en-US"/>
              </w:rPr>
              <w:t xml:space="preserve"> </w:t>
            </w:r>
          </w:p>
        </w:tc>
        <w:tc>
          <w:tcPr>
            <w:tcW w:w="2857" w:type="dxa"/>
            <w:shd w:val="clear" w:color="auto" w:fill="auto"/>
          </w:tcPr>
          <w:p w:rsidR="00724621" w:rsidRPr="009739F7" w:rsidRDefault="00530E6E" w:rsidP="009739F7">
            <w:pPr>
              <w:spacing w:after="0" w:line="240" w:lineRule="auto"/>
              <w:rPr>
                <w:rFonts w:asciiTheme="minorHAnsi" w:hAnsiTheme="minorHAnsi" w:cs="Arial"/>
                <w:sz w:val="20"/>
                <w:szCs w:val="20"/>
                <w:lang w:val="en-US"/>
              </w:rPr>
            </w:pPr>
            <w:r w:rsidRPr="009739F7">
              <w:rPr>
                <w:rFonts w:asciiTheme="minorHAnsi" w:eastAsiaTheme="minorHAnsi" w:hAnsiTheme="minorHAnsi" w:cs="Arial"/>
                <w:sz w:val="20"/>
                <w:szCs w:val="20"/>
                <w:lang w:val="en-US" w:eastAsia="en-US"/>
              </w:rPr>
              <w:t xml:space="preserve">Submission meets “Proficient” and extends explanation to include </w:t>
            </w:r>
            <w:r w:rsidR="00813F23" w:rsidRPr="009739F7">
              <w:rPr>
                <w:rFonts w:asciiTheme="minorHAnsi" w:hAnsiTheme="minorHAnsi" w:cs="Arial"/>
                <w:sz w:val="20"/>
                <w:szCs w:val="20"/>
                <w:lang w:val="en-US"/>
              </w:rPr>
              <w:t>learning and transfer design elements</w:t>
            </w:r>
            <w:r w:rsidR="00B14289" w:rsidRPr="009739F7">
              <w:rPr>
                <w:rFonts w:asciiTheme="minorHAnsi" w:hAnsiTheme="minorHAnsi" w:cs="Arial"/>
                <w:sz w:val="20"/>
                <w:szCs w:val="20"/>
                <w:lang w:val="en-US"/>
              </w:rPr>
              <w:t xml:space="preserve"> specific to </w:t>
            </w:r>
            <w:r w:rsidR="00B14289" w:rsidRPr="009739F7">
              <w:rPr>
                <w:rFonts w:asciiTheme="minorHAnsi" w:eastAsiaTheme="minorHAnsi" w:hAnsiTheme="minorHAnsi" w:cs="Arial"/>
                <w:sz w:val="20"/>
                <w:szCs w:val="20"/>
                <w:lang w:val="en-US" w:eastAsia="en-US"/>
              </w:rPr>
              <w:t>leadership and its practice</w:t>
            </w:r>
            <w:r w:rsidR="009739F7" w:rsidRPr="009739F7">
              <w:rPr>
                <w:rFonts w:asciiTheme="minorHAnsi" w:eastAsiaTheme="minorHAnsi" w:hAnsiTheme="minorHAnsi" w:cs="Arial"/>
                <w:sz w:val="20"/>
                <w:szCs w:val="20"/>
                <w:lang w:val="en-US" w:eastAsia="en-US"/>
              </w:rPr>
              <w:t xml:space="preserve"> </w:t>
            </w:r>
          </w:p>
          <w:p w:rsidR="00530E6E" w:rsidRPr="009739F7" w:rsidRDefault="00BF6E7D" w:rsidP="009739F7">
            <w:pPr>
              <w:spacing w:after="0" w:line="240" w:lineRule="auto"/>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w:t>
            </w:r>
            <w:r w:rsidR="000B4C68" w:rsidRPr="009739F7">
              <w:rPr>
                <w:rFonts w:asciiTheme="minorHAnsi" w:eastAsiaTheme="minorHAnsi" w:hAnsiTheme="minorHAnsi" w:cs="Arial"/>
                <w:sz w:val="20"/>
                <w:szCs w:val="20"/>
                <w:lang w:val="en-US" w:eastAsia="en-US"/>
              </w:rPr>
              <w:t>36</w:t>
            </w:r>
            <w:r w:rsidRPr="009739F7">
              <w:rPr>
                <w:rFonts w:asciiTheme="minorHAnsi" w:eastAsiaTheme="minorHAnsi" w:hAnsiTheme="minorHAnsi" w:cs="Arial"/>
                <w:sz w:val="20"/>
                <w:szCs w:val="20"/>
                <w:lang w:val="en-US" w:eastAsia="en-US"/>
              </w:rPr>
              <w:t>-</w:t>
            </w:r>
            <w:r w:rsidR="000B4C68" w:rsidRPr="009739F7">
              <w:rPr>
                <w:rFonts w:asciiTheme="minorHAnsi" w:eastAsiaTheme="minorHAnsi" w:hAnsiTheme="minorHAnsi" w:cs="Arial"/>
                <w:sz w:val="20"/>
                <w:szCs w:val="20"/>
                <w:lang w:val="en-US" w:eastAsia="en-US"/>
              </w:rPr>
              <w:t>40</w:t>
            </w:r>
            <w:r w:rsidRPr="009739F7">
              <w:rPr>
                <w:rFonts w:asciiTheme="minorHAnsi" w:eastAsiaTheme="minorHAnsi" w:hAnsiTheme="minorHAnsi" w:cs="Arial"/>
                <w:sz w:val="20"/>
                <w:szCs w:val="20"/>
                <w:lang w:val="en-US" w:eastAsia="en-US"/>
              </w:rPr>
              <w:t>)</w:t>
            </w:r>
          </w:p>
        </w:tc>
        <w:tc>
          <w:tcPr>
            <w:tcW w:w="2858" w:type="dxa"/>
            <w:shd w:val="clear" w:color="auto" w:fill="auto"/>
          </w:tcPr>
          <w:p w:rsidR="00530E6E" w:rsidRPr="009739F7" w:rsidRDefault="000B4C68" w:rsidP="009739F7">
            <w:pPr>
              <w:spacing w:after="0" w:line="240" w:lineRule="auto"/>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Analyzes</w:t>
            </w:r>
            <w:r w:rsidR="00813F23" w:rsidRPr="009739F7">
              <w:rPr>
                <w:rFonts w:asciiTheme="minorHAnsi" w:eastAsiaTheme="minorHAnsi" w:hAnsiTheme="minorHAnsi" w:cs="Arial"/>
                <w:sz w:val="20"/>
                <w:szCs w:val="20"/>
                <w:lang w:val="en-US" w:eastAsia="en-US"/>
              </w:rPr>
              <w:t xml:space="preserve"> design elements </w:t>
            </w:r>
            <w:r w:rsidRPr="009739F7">
              <w:rPr>
                <w:rFonts w:asciiTheme="minorHAnsi" w:eastAsiaTheme="minorHAnsi" w:hAnsiTheme="minorHAnsi" w:cs="Arial"/>
                <w:sz w:val="20"/>
                <w:szCs w:val="20"/>
                <w:lang w:val="en-US" w:eastAsia="en-US"/>
              </w:rPr>
              <w:t xml:space="preserve">that </w:t>
            </w:r>
            <w:r w:rsidR="00B14289" w:rsidRPr="009739F7">
              <w:rPr>
                <w:rFonts w:asciiTheme="minorHAnsi" w:eastAsiaTheme="minorHAnsi" w:hAnsiTheme="minorHAnsi" w:cs="Arial"/>
                <w:sz w:val="20"/>
                <w:szCs w:val="20"/>
                <w:lang w:val="en-US" w:eastAsia="en-US"/>
              </w:rPr>
              <w:t xml:space="preserve">encourage </w:t>
            </w:r>
            <w:r w:rsidR="00813F23" w:rsidRPr="009739F7">
              <w:rPr>
                <w:rFonts w:asciiTheme="minorHAnsi" w:hAnsiTheme="minorHAnsi" w:cs="Arial"/>
                <w:sz w:val="20"/>
                <w:szCs w:val="20"/>
                <w:lang w:val="en-US"/>
              </w:rPr>
              <w:t xml:space="preserve">learning and transfer of </w:t>
            </w:r>
            <w:r w:rsidR="00813F23" w:rsidRPr="009739F7">
              <w:rPr>
                <w:rFonts w:asciiTheme="minorHAnsi" w:eastAsiaTheme="minorHAnsi" w:hAnsiTheme="minorHAnsi" w:cs="Arial"/>
                <w:sz w:val="20"/>
                <w:szCs w:val="20"/>
                <w:lang w:val="en-US" w:eastAsia="en-US"/>
              </w:rPr>
              <w:t xml:space="preserve">leadership </w:t>
            </w:r>
            <w:r w:rsidR="00B14289" w:rsidRPr="009739F7">
              <w:rPr>
                <w:rFonts w:asciiTheme="minorHAnsi" w:eastAsiaTheme="minorHAnsi" w:hAnsiTheme="minorHAnsi" w:cs="Arial"/>
                <w:sz w:val="20"/>
                <w:szCs w:val="20"/>
                <w:lang w:val="en-US" w:eastAsia="en-US"/>
              </w:rPr>
              <w:t xml:space="preserve">practices </w:t>
            </w:r>
            <w:r w:rsidR="00813F23" w:rsidRPr="009739F7">
              <w:rPr>
                <w:rFonts w:asciiTheme="minorHAnsi" w:eastAsiaTheme="minorHAnsi" w:hAnsiTheme="minorHAnsi" w:cs="Arial"/>
                <w:sz w:val="20"/>
                <w:szCs w:val="20"/>
                <w:lang w:val="en-US" w:eastAsia="en-US"/>
              </w:rPr>
              <w:t>by the participants</w:t>
            </w:r>
          </w:p>
          <w:p w:rsidR="00885947" w:rsidRPr="009739F7" w:rsidRDefault="00885947" w:rsidP="009739F7">
            <w:pPr>
              <w:spacing w:after="0" w:line="240" w:lineRule="auto"/>
              <w:rPr>
                <w:rFonts w:asciiTheme="minorHAnsi" w:hAnsiTheme="minorHAnsi" w:cs="Arial"/>
                <w:sz w:val="20"/>
                <w:szCs w:val="20"/>
                <w:lang w:val="en-US"/>
              </w:rPr>
            </w:pPr>
          </w:p>
          <w:p w:rsidR="0028706E" w:rsidRPr="009739F7" w:rsidRDefault="00BF6E7D" w:rsidP="009739F7">
            <w:pPr>
              <w:spacing w:after="0" w:line="240" w:lineRule="auto"/>
              <w:rPr>
                <w:rFonts w:asciiTheme="minorHAnsi" w:eastAsiaTheme="minorHAnsi" w:hAnsiTheme="minorHAnsi" w:cs="Arial"/>
                <w:sz w:val="20"/>
                <w:szCs w:val="20"/>
                <w:lang w:val="en-US" w:eastAsia="en-US"/>
              </w:rPr>
            </w:pPr>
            <w:r w:rsidRPr="009739F7">
              <w:rPr>
                <w:rFonts w:asciiTheme="minorHAnsi" w:hAnsiTheme="minorHAnsi" w:cs="Arial"/>
                <w:sz w:val="20"/>
                <w:szCs w:val="20"/>
                <w:lang w:val="en-US"/>
              </w:rPr>
              <w:t>(</w:t>
            </w:r>
            <w:r w:rsidR="000B4C68" w:rsidRPr="009739F7">
              <w:rPr>
                <w:rFonts w:asciiTheme="minorHAnsi" w:hAnsiTheme="minorHAnsi" w:cs="Arial"/>
                <w:sz w:val="20"/>
                <w:szCs w:val="20"/>
                <w:lang w:val="en-US"/>
              </w:rPr>
              <w:t>32</w:t>
            </w:r>
            <w:r w:rsidRPr="009739F7">
              <w:rPr>
                <w:rFonts w:asciiTheme="minorHAnsi" w:hAnsiTheme="minorHAnsi" w:cs="Arial"/>
                <w:sz w:val="20"/>
                <w:szCs w:val="20"/>
                <w:lang w:val="en-US"/>
              </w:rPr>
              <w:t>-</w:t>
            </w:r>
            <w:r w:rsidR="000B4C68" w:rsidRPr="009739F7">
              <w:rPr>
                <w:rFonts w:asciiTheme="minorHAnsi" w:hAnsiTheme="minorHAnsi" w:cs="Arial"/>
                <w:sz w:val="20"/>
                <w:szCs w:val="20"/>
                <w:lang w:val="en-US"/>
              </w:rPr>
              <w:t>35</w:t>
            </w:r>
            <w:r w:rsidRPr="009739F7">
              <w:rPr>
                <w:rFonts w:asciiTheme="minorHAnsi" w:hAnsiTheme="minorHAnsi" w:cs="Arial"/>
                <w:sz w:val="20"/>
                <w:szCs w:val="20"/>
                <w:lang w:val="en-US"/>
              </w:rPr>
              <w:t>)</w:t>
            </w:r>
          </w:p>
        </w:tc>
        <w:tc>
          <w:tcPr>
            <w:tcW w:w="2857" w:type="dxa"/>
            <w:shd w:val="clear" w:color="auto" w:fill="auto"/>
          </w:tcPr>
          <w:p w:rsidR="00724621" w:rsidRPr="009739F7" w:rsidRDefault="000B4C68" w:rsidP="009739F7">
            <w:pPr>
              <w:spacing w:after="0" w:line="240" w:lineRule="auto"/>
              <w:rPr>
                <w:rFonts w:asciiTheme="minorHAnsi" w:hAnsiTheme="minorHAnsi" w:cs="Arial"/>
                <w:sz w:val="20"/>
                <w:szCs w:val="20"/>
                <w:lang w:val="en-US"/>
              </w:rPr>
            </w:pPr>
            <w:r w:rsidRPr="009739F7">
              <w:rPr>
                <w:rFonts w:asciiTheme="minorHAnsi" w:eastAsiaTheme="minorHAnsi" w:hAnsiTheme="minorHAnsi" w:cs="Arial"/>
                <w:sz w:val="20"/>
                <w:szCs w:val="20"/>
                <w:lang w:val="en-US" w:eastAsia="en-US"/>
              </w:rPr>
              <w:t>Attempts to analyze</w:t>
            </w:r>
            <w:r w:rsidR="00A35F3C" w:rsidRPr="009739F7">
              <w:rPr>
                <w:rFonts w:asciiTheme="minorHAnsi" w:eastAsiaTheme="minorHAnsi" w:hAnsiTheme="minorHAnsi" w:cs="Arial"/>
                <w:sz w:val="20"/>
                <w:szCs w:val="20"/>
                <w:lang w:val="en-US" w:eastAsia="en-US"/>
              </w:rPr>
              <w:t xml:space="preserve"> </w:t>
            </w:r>
            <w:r w:rsidR="00813F23" w:rsidRPr="009739F7">
              <w:rPr>
                <w:rFonts w:asciiTheme="minorHAnsi" w:eastAsiaTheme="minorHAnsi" w:hAnsiTheme="minorHAnsi" w:cs="Arial"/>
                <w:sz w:val="20"/>
                <w:szCs w:val="20"/>
                <w:lang w:val="en-US" w:eastAsia="en-US"/>
              </w:rPr>
              <w:t>design element</w:t>
            </w:r>
            <w:r w:rsidRPr="009739F7">
              <w:rPr>
                <w:rFonts w:asciiTheme="minorHAnsi" w:eastAsiaTheme="minorHAnsi" w:hAnsiTheme="minorHAnsi" w:cs="Arial"/>
                <w:sz w:val="20"/>
                <w:szCs w:val="20"/>
                <w:lang w:val="en-US" w:eastAsia="en-US"/>
              </w:rPr>
              <w:t>s</w:t>
            </w:r>
            <w:r w:rsidR="00B14289" w:rsidRPr="009739F7">
              <w:rPr>
                <w:rFonts w:asciiTheme="minorHAnsi" w:eastAsiaTheme="minorHAnsi" w:hAnsiTheme="minorHAnsi" w:cs="Arial"/>
                <w:sz w:val="20"/>
                <w:szCs w:val="20"/>
                <w:lang w:val="en-US" w:eastAsia="en-US"/>
              </w:rPr>
              <w:t xml:space="preserve"> </w:t>
            </w:r>
            <w:r w:rsidRPr="009739F7">
              <w:rPr>
                <w:rFonts w:asciiTheme="minorHAnsi" w:eastAsiaTheme="minorHAnsi" w:hAnsiTheme="minorHAnsi" w:cs="Arial"/>
                <w:sz w:val="20"/>
                <w:szCs w:val="20"/>
                <w:lang w:val="en-US" w:eastAsia="en-US"/>
              </w:rPr>
              <w:t>that</w:t>
            </w:r>
            <w:r w:rsidR="00B14289" w:rsidRPr="009739F7">
              <w:rPr>
                <w:rFonts w:asciiTheme="minorHAnsi" w:eastAsiaTheme="minorHAnsi" w:hAnsiTheme="minorHAnsi" w:cs="Arial"/>
                <w:sz w:val="20"/>
                <w:szCs w:val="20"/>
                <w:lang w:val="en-US" w:eastAsia="en-US"/>
              </w:rPr>
              <w:t xml:space="preserve"> encourage</w:t>
            </w:r>
            <w:r w:rsidR="00813F23" w:rsidRPr="009739F7">
              <w:rPr>
                <w:rFonts w:asciiTheme="minorHAnsi" w:eastAsiaTheme="minorHAnsi" w:hAnsiTheme="minorHAnsi" w:cs="Arial"/>
                <w:sz w:val="20"/>
                <w:szCs w:val="20"/>
                <w:lang w:val="en-US" w:eastAsia="en-US"/>
              </w:rPr>
              <w:t xml:space="preserve"> </w:t>
            </w:r>
            <w:r w:rsidR="00813F23" w:rsidRPr="009739F7">
              <w:rPr>
                <w:rFonts w:asciiTheme="minorHAnsi" w:hAnsiTheme="minorHAnsi" w:cs="Arial"/>
                <w:sz w:val="20"/>
                <w:szCs w:val="20"/>
                <w:lang w:val="en-US"/>
              </w:rPr>
              <w:t xml:space="preserve">learning and transfer of </w:t>
            </w:r>
            <w:r w:rsidR="00813F23" w:rsidRPr="009739F7">
              <w:rPr>
                <w:rFonts w:asciiTheme="minorHAnsi" w:eastAsiaTheme="minorHAnsi" w:hAnsiTheme="minorHAnsi" w:cs="Arial"/>
                <w:sz w:val="20"/>
                <w:szCs w:val="20"/>
                <w:lang w:val="en-US" w:eastAsia="en-US"/>
              </w:rPr>
              <w:t>leadership</w:t>
            </w:r>
            <w:r w:rsidR="00B14289" w:rsidRPr="009739F7">
              <w:rPr>
                <w:rFonts w:asciiTheme="minorHAnsi" w:eastAsiaTheme="minorHAnsi" w:hAnsiTheme="minorHAnsi" w:cs="Arial"/>
                <w:sz w:val="20"/>
                <w:szCs w:val="20"/>
                <w:lang w:val="en-US" w:eastAsia="en-US"/>
              </w:rPr>
              <w:t xml:space="preserve"> practices</w:t>
            </w:r>
            <w:r w:rsidR="00813F23" w:rsidRPr="009739F7">
              <w:rPr>
                <w:rFonts w:asciiTheme="minorHAnsi" w:eastAsiaTheme="minorHAnsi" w:hAnsiTheme="minorHAnsi" w:cs="Arial"/>
                <w:sz w:val="20"/>
                <w:szCs w:val="20"/>
                <w:lang w:val="en-US" w:eastAsia="en-US"/>
              </w:rPr>
              <w:t xml:space="preserve"> by the participants</w:t>
            </w:r>
          </w:p>
          <w:p w:rsidR="00530E6E" w:rsidRPr="009739F7" w:rsidRDefault="00BF6E7D" w:rsidP="009739F7">
            <w:pPr>
              <w:spacing w:after="0" w:line="240" w:lineRule="auto"/>
              <w:rPr>
                <w:rFonts w:asciiTheme="minorHAnsi" w:eastAsiaTheme="minorHAnsi" w:hAnsiTheme="minorHAnsi" w:cs="Arial"/>
                <w:b/>
                <w:sz w:val="20"/>
                <w:szCs w:val="20"/>
                <w:lang w:val="en-US" w:eastAsia="en-US"/>
              </w:rPr>
            </w:pPr>
            <w:r w:rsidRPr="009739F7">
              <w:rPr>
                <w:rFonts w:asciiTheme="minorHAnsi" w:hAnsiTheme="minorHAnsi" w:cs="Arial"/>
                <w:sz w:val="20"/>
                <w:szCs w:val="20"/>
                <w:lang w:val="en-US"/>
              </w:rPr>
              <w:t>(</w:t>
            </w:r>
            <w:r w:rsidR="000B4C68" w:rsidRPr="009739F7">
              <w:rPr>
                <w:rFonts w:asciiTheme="minorHAnsi" w:hAnsiTheme="minorHAnsi" w:cs="Arial"/>
                <w:sz w:val="20"/>
                <w:szCs w:val="20"/>
                <w:lang w:val="en-US"/>
              </w:rPr>
              <w:t>28</w:t>
            </w:r>
            <w:r w:rsidRPr="009739F7">
              <w:rPr>
                <w:rFonts w:asciiTheme="minorHAnsi" w:hAnsiTheme="minorHAnsi" w:cs="Arial"/>
                <w:sz w:val="20"/>
                <w:szCs w:val="20"/>
                <w:lang w:val="en-US"/>
              </w:rPr>
              <w:t>-</w:t>
            </w:r>
            <w:r w:rsidR="000B4C68" w:rsidRPr="009739F7">
              <w:rPr>
                <w:rFonts w:asciiTheme="minorHAnsi" w:hAnsiTheme="minorHAnsi" w:cs="Arial"/>
                <w:sz w:val="20"/>
                <w:szCs w:val="20"/>
                <w:lang w:val="en-US"/>
              </w:rPr>
              <w:t>31</w:t>
            </w:r>
            <w:r w:rsidRPr="009739F7">
              <w:rPr>
                <w:rFonts w:asciiTheme="minorHAnsi" w:hAnsiTheme="minorHAnsi" w:cs="Arial"/>
                <w:sz w:val="20"/>
                <w:szCs w:val="20"/>
                <w:lang w:val="en-US"/>
              </w:rPr>
              <w:t>)</w:t>
            </w:r>
          </w:p>
        </w:tc>
        <w:tc>
          <w:tcPr>
            <w:tcW w:w="2858" w:type="dxa"/>
            <w:shd w:val="clear" w:color="auto" w:fill="auto"/>
          </w:tcPr>
          <w:p w:rsidR="009739F7" w:rsidRDefault="00A35F3C" w:rsidP="009739F7">
            <w:pPr>
              <w:spacing w:after="0" w:line="240" w:lineRule="auto"/>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 xml:space="preserve">Does not include any </w:t>
            </w:r>
            <w:r w:rsidR="00813F23" w:rsidRPr="009739F7">
              <w:rPr>
                <w:rFonts w:asciiTheme="minorHAnsi" w:eastAsiaTheme="minorHAnsi" w:hAnsiTheme="minorHAnsi" w:cs="Arial"/>
                <w:sz w:val="20"/>
                <w:szCs w:val="20"/>
                <w:lang w:val="en-US" w:eastAsia="en-US"/>
              </w:rPr>
              <w:t>design elements related to learning and transfer of leadership</w:t>
            </w:r>
            <w:r w:rsidR="00B14289" w:rsidRPr="009739F7">
              <w:rPr>
                <w:rFonts w:asciiTheme="minorHAnsi" w:eastAsiaTheme="minorHAnsi" w:hAnsiTheme="minorHAnsi" w:cs="Arial"/>
                <w:sz w:val="20"/>
                <w:szCs w:val="20"/>
                <w:lang w:val="en-US" w:eastAsia="en-US"/>
              </w:rPr>
              <w:t xml:space="preserve"> practices by the participants</w:t>
            </w:r>
          </w:p>
          <w:p w:rsidR="00724621" w:rsidRPr="009739F7" w:rsidRDefault="00813F23" w:rsidP="009739F7">
            <w:pPr>
              <w:spacing w:after="0" w:line="240" w:lineRule="auto"/>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 xml:space="preserve"> </w:t>
            </w:r>
          </w:p>
          <w:p w:rsidR="00724621" w:rsidRPr="009739F7" w:rsidRDefault="00BF6E7D" w:rsidP="009739F7">
            <w:pPr>
              <w:spacing w:after="0" w:line="240" w:lineRule="auto"/>
              <w:rPr>
                <w:rFonts w:asciiTheme="minorHAnsi" w:eastAsiaTheme="minorHAnsi" w:hAnsiTheme="minorHAnsi" w:cs="Arial"/>
                <w:sz w:val="20"/>
                <w:szCs w:val="20"/>
                <w:lang w:val="en-US" w:eastAsia="en-US"/>
              </w:rPr>
            </w:pPr>
            <w:r w:rsidRPr="009739F7">
              <w:rPr>
                <w:rFonts w:asciiTheme="minorHAnsi" w:hAnsiTheme="minorHAnsi" w:cs="Arial"/>
                <w:sz w:val="20"/>
                <w:szCs w:val="20"/>
                <w:lang w:val="en-US"/>
              </w:rPr>
              <w:t>(0-</w:t>
            </w:r>
            <w:r w:rsidR="000B4C68" w:rsidRPr="009739F7">
              <w:rPr>
                <w:rFonts w:asciiTheme="minorHAnsi" w:hAnsiTheme="minorHAnsi" w:cs="Arial"/>
                <w:sz w:val="20"/>
                <w:szCs w:val="20"/>
                <w:lang w:val="en-US"/>
              </w:rPr>
              <w:t>27</w:t>
            </w:r>
            <w:r w:rsidRPr="009739F7">
              <w:rPr>
                <w:rFonts w:asciiTheme="minorHAnsi" w:hAnsiTheme="minorHAnsi" w:cs="Arial"/>
                <w:sz w:val="20"/>
                <w:szCs w:val="20"/>
                <w:lang w:val="en-US"/>
              </w:rPr>
              <w:t>)</w:t>
            </w:r>
          </w:p>
        </w:tc>
        <w:tc>
          <w:tcPr>
            <w:tcW w:w="1217" w:type="dxa"/>
            <w:shd w:val="clear" w:color="auto" w:fill="auto"/>
          </w:tcPr>
          <w:p w:rsidR="00530E6E" w:rsidRPr="009739F7" w:rsidRDefault="000B4C68" w:rsidP="009739F7">
            <w:pPr>
              <w:snapToGrid w:val="0"/>
              <w:spacing w:after="0" w:line="240" w:lineRule="auto"/>
              <w:jc w:val="center"/>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40</w:t>
            </w:r>
          </w:p>
        </w:tc>
      </w:tr>
      <w:tr w:rsidR="00530E6E" w:rsidRPr="009739F7" w:rsidTr="009739F7">
        <w:trPr>
          <w:cantSplit/>
          <w:jc w:val="center"/>
        </w:trPr>
        <w:tc>
          <w:tcPr>
            <w:tcW w:w="2028" w:type="dxa"/>
            <w:shd w:val="clear" w:color="auto" w:fill="auto"/>
          </w:tcPr>
          <w:p w:rsidR="00530E6E" w:rsidRPr="009739F7" w:rsidRDefault="00530E6E" w:rsidP="009739F7">
            <w:pPr>
              <w:snapToGrid w:val="0"/>
              <w:spacing w:after="0" w:line="240" w:lineRule="auto"/>
              <w:jc w:val="center"/>
              <w:rPr>
                <w:rFonts w:asciiTheme="minorHAnsi" w:eastAsiaTheme="minorHAnsi" w:hAnsiTheme="minorHAnsi" w:cs="Arial"/>
                <w:sz w:val="20"/>
                <w:szCs w:val="20"/>
                <w:lang w:val="en-US" w:eastAsia="en-US"/>
              </w:rPr>
            </w:pPr>
            <w:r w:rsidRPr="009739F7">
              <w:rPr>
                <w:rFonts w:asciiTheme="minorHAnsi" w:eastAsiaTheme="minorHAnsi" w:hAnsiTheme="minorHAnsi" w:cs="Arial"/>
                <w:b/>
                <w:color w:val="000000" w:themeColor="text1"/>
                <w:sz w:val="20"/>
                <w:szCs w:val="20"/>
                <w:lang w:val="en-US" w:eastAsia="en-US"/>
              </w:rPr>
              <w:t>Articulation of Response</w:t>
            </w:r>
          </w:p>
        </w:tc>
        <w:tc>
          <w:tcPr>
            <w:tcW w:w="2857" w:type="dxa"/>
            <w:shd w:val="clear" w:color="auto" w:fill="auto"/>
          </w:tcPr>
          <w:p w:rsidR="00BF6E7D" w:rsidRPr="009739F7" w:rsidRDefault="00530E6E" w:rsidP="009739F7">
            <w:pPr>
              <w:spacing w:after="0" w:line="240" w:lineRule="auto"/>
              <w:contextualSpacing/>
              <w:rPr>
                <w:rFonts w:asciiTheme="minorHAnsi" w:eastAsiaTheme="minorHAnsi" w:hAnsiTheme="minorHAnsi" w:cs="Arial"/>
                <w:color w:val="000000" w:themeColor="text1"/>
                <w:sz w:val="20"/>
                <w:szCs w:val="20"/>
                <w:lang w:val="en-US" w:eastAsia="en-US"/>
              </w:rPr>
            </w:pPr>
            <w:r w:rsidRPr="009739F7">
              <w:rPr>
                <w:rFonts w:asciiTheme="minorHAnsi" w:eastAsiaTheme="minorHAnsi" w:hAnsiTheme="minorHAnsi" w:cs="Arial"/>
                <w:color w:val="000000" w:themeColor="text1"/>
                <w:sz w:val="20"/>
                <w:szCs w:val="20"/>
                <w:lang w:val="en-US" w:eastAsia="en-US"/>
              </w:rPr>
              <w:t>Submission is free of errors related to grammar, spelling, syntax, and organization and is presented in a professional and easy-to-read format</w:t>
            </w:r>
            <w:r w:rsidR="009739F7" w:rsidRPr="009739F7">
              <w:rPr>
                <w:rFonts w:asciiTheme="minorHAnsi" w:eastAsiaTheme="minorHAnsi" w:hAnsiTheme="minorHAnsi" w:cs="Arial"/>
                <w:color w:val="000000" w:themeColor="text1"/>
                <w:sz w:val="20"/>
                <w:szCs w:val="20"/>
                <w:lang w:val="en-US" w:eastAsia="en-US"/>
              </w:rPr>
              <w:t xml:space="preserve"> </w:t>
            </w:r>
          </w:p>
          <w:p w:rsidR="00530E6E" w:rsidRPr="009739F7" w:rsidRDefault="00BF6E7D" w:rsidP="009739F7">
            <w:pPr>
              <w:spacing w:after="0" w:line="240" w:lineRule="auto"/>
              <w:contextualSpacing/>
              <w:rPr>
                <w:rFonts w:asciiTheme="minorHAnsi" w:eastAsiaTheme="minorHAnsi" w:hAnsiTheme="minorHAnsi" w:cs="Arial"/>
                <w:sz w:val="20"/>
                <w:szCs w:val="20"/>
                <w:lang w:val="en-US" w:eastAsia="en-US"/>
              </w:rPr>
            </w:pPr>
            <w:r w:rsidRPr="009739F7">
              <w:rPr>
                <w:rFonts w:asciiTheme="minorHAnsi" w:eastAsiaTheme="minorHAnsi" w:hAnsiTheme="minorHAnsi" w:cs="Arial"/>
                <w:sz w:val="20"/>
                <w:szCs w:val="20"/>
                <w:lang w:val="en-US" w:eastAsia="en-US"/>
              </w:rPr>
              <w:t>(</w:t>
            </w:r>
            <w:r w:rsidR="000B4C68" w:rsidRPr="009739F7">
              <w:rPr>
                <w:rFonts w:asciiTheme="minorHAnsi" w:eastAsiaTheme="minorHAnsi" w:hAnsiTheme="minorHAnsi" w:cs="Arial"/>
                <w:sz w:val="20"/>
                <w:szCs w:val="20"/>
                <w:lang w:val="en-US" w:eastAsia="en-US"/>
              </w:rPr>
              <w:t>18</w:t>
            </w:r>
            <w:r w:rsidRPr="009739F7">
              <w:rPr>
                <w:rFonts w:asciiTheme="minorHAnsi" w:eastAsiaTheme="minorHAnsi" w:hAnsiTheme="minorHAnsi" w:cs="Arial"/>
                <w:sz w:val="20"/>
                <w:szCs w:val="20"/>
                <w:lang w:val="en-US" w:eastAsia="en-US"/>
              </w:rPr>
              <w:t>-</w:t>
            </w:r>
            <w:r w:rsidR="000B4C68" w:rsidRPr="009739F7">
              <w:rPr>
                <w:rFonts w:asciiTheme="minorHAnsi" w:eastAsiaTheme="minorHAnsi" w:hAnsiTheme="minorHAnsi" w:cs="Arial"/>
                <w:sz w:val="20"/>
                <w:szCs w:val="20"/>
                <w:lang w:val="en-US" w:eastAsia="en-US"/>
              </w:rPr>
              <w:t>20</w:t>
            </w:r>
            <w:r w:rsidRPr="009739F7">
              <w:rPr>
                <w:rFonts w:asciiTheme="minorHAnsi" w:eastAsiaTheme="minorHAnsi" w:hAnsiTheme="minorHAnsi" w:cs="Arial"/>
                <w:sz w:val="20"/>
                <w:szCs w:val="20"/>
                <w:lang w:val="en-US" w:eastAsia="en-US"/>
              </w:rPr>
              <w:t>)</w:t>
            </w:r>
          </w:p>
        </w:tc>
        <w:tc>
          <w:tcPr>
            <w:tcW w:w="2858" w:type="dxa"/>
            <w:shd w:val="clear" w:color="auto" w:fill="auto"/>
          </w:tcPr>
          <w:p w:rsidR="00530E6E" w:rsidRPr="009739F7" w:rsidRDefault="00530E6E" w:rsidP="009739F7">
            <w:pPr>
              <w:spacing w:after="0" w:line="240" w:lineRule="auto"/>
              <w:contextualSpacing/>
              <w:rPr>
                <w:rFonts w:asciiTheme="minorHAnsi" w:eastAsiaTheme="minorHAnsi" w:hAnsiTheme="minorHAnsi" w:cs="Arial"/>
                <w:color w:val="000000" w:themeColor="text1"/>
                <w:sz w:val="20"/>
                <w:szCs w:val="20"/>
                <w:lang w:val="en-US" w:eastAsia="en-US"/>
              </w:rPr>
            </w:pPr>
            <w:r w:rsidRPr="009739F7">
              <w:rPr>
                <w:rFonts w:asciiTheme="minorHAnsi" w:eastAsiaTheme="minorHAnsi" w:hAnsiTheme="minorHAnsi" w:cs="Arial"/>
                <w:color w:val="000000" w:themeColor="text1"/>
                <w:sz w:val="20"/>
                <w:szCs w:val="20"/>
                <w:lang w:val="en-US" w:eastAsia="en-US"/>
              </w:rPr>
              <w:t>Submission has no major errors related to grammar, spelling, syntax, or organization</w:t>
            </w:r>
          </w:p>
          <w:p w:rsidR="00A35F3C" w:rsidRPr="009739F7" w:rsidRDefault="00A35F3C" w:rsidP="009739F7">
            <w:pPr>
              <w:spacing w:after="0" w:line="240" w:lineRule="auto"/>
              <w:contextualSpacing/>
              <w:jc w:val="right"/>
              <w:rPr>
                <w:rFonts w:asciiTheme="minorHAnsi" w:hAnsiTheme="minorHAnsi" w:cs="Arial"/>
                <w:sz w:val="20"/>
                <w:szCs w:val="20"/>
                <w:lang w:val="en-US"/>
              </w:rPr>
            </w:pPr>
          </w:p>
          <w:p w:rsidR="00BF6E7D" w:rsidRPr="009739F7" w:rsidRDefault="00BF6E7D" w:rsidP="009739F7">
            <w:pPr>
              <w:spacing w:after="0" w:line="240" w:lineRule="auto"/>
              <w:contextualSpacing/>
              <w:rPr>
                <w:rFonts w:asciiTheme="minorHAnsi" w:hAnsiTheme="minorHAnsi" w:cs="Arial"/>
                <w:sz w:val="20"/>
                <w:szCs w:val="20"/>
                <w:lang w:val="en-US"/>
              </w:rPr>
            </w:pPr>
          </w:p>
          <w:p w:rsidR="00530E6E" w:rsidRPr="009739F7" w:rsidRDefault="00BF6E7D" w:rsidP="009739F7">
            <w:pPr>
              <w:spacing w:after="0" w:line="240" w:lineRule="auto"/>
              <w:contextualSpacing/>
              <w:rPr>
                <w:rFonts w:asciiTheme="minorHAnsi" w:eastAsiaTheme="minorHAnsi" w:hAnsiTheme="minorHAnsi" w:cs="Arial"/>
                <w:sz w:val="20"/>
                <w:szCs w:val="20"/>
                <w:lang w:val="en-US" w:eastAsia="en-US"/>
              </w:rPr>
            </w:pPr>
            <w:r w:rsidRPr="009739F7">
              <w:rPr>
                <w:rFonts w:asciiTheme="minorHAnsi" w:hAnsiTheme="minorHAnsi" w:cs="Arial"/>
                <w:sz w:val="20"/>
                <w:szCs w:val="20"/>
                <w:lang w:val="en-US"/>
              </w:rPr>
              <w:t>(</w:t>
            </w:r>
            <w:r w:rsidR="000B4C68" w:rsidRPr="009739F7">
              <w:rPr>
                <w:rFonts w:asciiTheme="minorHAnsi" w:hAnsiTheme="minorHAnsi" w:cs="Arial"/>
                <w:sz w:val="20"/>
                <w:szCs w:val="20"/>
                <w:lang w:val="en-US"/>
              </w:rPr>
              <w:t>16</w:t>
            </w:r>
            <w:r w:rsidRPr="009739F7">
              <w:rPr>
                <w:rFonts w:asciiTheme="minorHAnsi" w:hAnsiTheme="minorHAnsi" w:cs="Arial"/>
                <w:sz w:val="20"/>
                <w:szCs w:val="20"/>
                <w:lang w:val="en-US"/>
              </w:rPr>
              <w:t>-</w:t>
            </w:r>
            <w:r w:rsidR="000B4C68" w:rsidRPr="009739F7">
              <w:rPr>
                <w:rFonts w:asciiTheme="minorHAnsi" w:hAnsiTheme="minorHAnsi" w:cs="Arial"/>
                <w:sz w:val="20"/>
                <w:szCs w:val="20"/>
                <w:lang w:val="en-US"/>
              </w:rPr>
              <w:t>17</w:t>
            </w:r>
            <w:r w:rsidRPr="009739F7">
              <w:rPr>
                <w:rFonts w:asciiTheme="minorHAnsi" w:hAnsiTheme="minorHAnsi" w:cs="Arial"/>
                <w:sz w:val="20"/>
                <w:szCs w:val="20"/>
                <w:lang w:val="en-US"/>
              </w:rPr>
              <w:t>)</w:t>
            </w:r>
          </w:p>
        </w:tc>
        <w:tc>
          <w:tcPr>
            <w:tcW w:w="2857" w:type="dxa"/>
            <w:shd w:val="clear" w:color="auto" w:fill="auto"/>
          </w:tcPr>
          <w:p w:rsidR="00530E6E" w:rsidRPr="009739F7" w:rsidRDefault="00530E6E" w:rsidP="009739F7">
            <w:pPr>
              <w:spacing w:after="0" w:line="240" w:lineRule="auto"/>
              <w:contextualSpacing/>
              <w:rPr>
                <w:rFonts w:asciiTheme="minorHAnsi" w:eastAsiaTheme="minorHAnsi" w:hAnsiTheme="minorHAnsi" w:cs="Arial"/>
                <w:color w:val="000000" w:themeColor="text1"/>
                <w:sz w:val="20"/>
                <w:szCs w:val="20"/>
                <w:lang w:val="en-US" w:eastAsia="en-US"/>
              </w:rPr>
            </w:pPr>
            <w:r w:rsidRPr="009739F7">
              <w:rPr>
                <w:rFonts w:asciiTheme="minorHAnsi" w:eastAsiaTheme="minorHAnsi" w:hAnsiTheme="minorHAnsi" w:cs="Arial"/>
                <w:color w:val="000000" w:themeColor="text1"/>
                <w:sz w:val="20"/>
                <w:szCs w:val="20"/>
                <w:lang w:val="en-US" w:eastAsia="en-US"/>
              </w:rPr>
              <w:t>Submission has major errors related to grammar, spelling, syntax, or organization that negatively impact readabilit</w:t>
            </w:r>
            <w:r w:rsidR="00BF6E7D" w:rsidRPr="009739F7">
              <w:rPr>
                <w:rFonts w:asciiTheme="minorHAnsi" w:eastAsiaTheme="minorHAnsi" w:hAnsiTheme="minorHAnsi" w:cs="Arial"/>
                <w:color w:val="000000" w:themeColor="text1"/>
                <w:sz w:val="20"/>
                <w:szCs w:val="20"/>
                <w:lang w:val="en-US" w:eastAsia="en-US"/>
              </w:rPr>
              <w:t>y and articulation of main idea</w:t>
            </w:r>
            <w:r w:rsidRPr="009739F7">
              <w:rPr>
                <w:rFonts w:asciiTheme="minorHAnsi" w:eastAsiaTheme="minorHAnsi" w:hAnsiTheme="minorHAnsi" w:cs="Arial"/>
                <w:color w:val="000000" w:themeColor="text1"/>
                <w:sz w:val="20"/>
                <w:szCs w:val="20"/>
                <w:lang w:val="en-US" w:eastAsia="en-US"/>
              </w:rPr>
              <w:t xml:space="preserve"> </w:t>
            </w:r>
            <w:r w:rsidR="00BF6E7D" w:rsidRPr="009739F7">
              <w:rPr>
                <w:rFonts w:asciiTheme="minorHAnsi" w:hAnsiTheme="minorHAnsi" w:cs="Arial"/>
                <w:sz w:val="20"/>
                <w:szCs w:val="20"/>
                <w:lang w:val="en-US"/>
              </w:rPr>
              <w:t>(</w:t>
            </w:r>
            <w:r w:rsidR="000B4C68" w:rsidRPr="009739F7">
              <w:rPr>
                <w:rFonts w:asciiTheme="minorHAnsi" w:hAnsiTheme="minorHAnsi" w:cs="Arial"/>
                <w:sz w:val="20"/>
                <w:szCs w:val="20"/>
                <w:lang w:val="en-US"/>
              </w:rPr>
              <w:t>14</w:t>
            </w:r>
            <w:r w:rsidR="00BF6E7D" w:rsidRPr="009739F7">
              <w:rPr>
                <w:rFonts w:asciiTheme="minorHAnsi" w:hAnsiTheme="minorHAnsi" w:cs="Arial"/>
                <w:sz w:val="20"/>
                <w:szCs w:val="20"/>
                <w:lang w:val="en-US"/>
              </w:rPr>
              <w:t>-</w:t>
            </w:r>
            <w:r w:rsidR="000B4C68" w:rsidRPr="009739F7">
              <w:rPr>
                <w:rFonts w:asciiTheme="minorHAnsi" w:hAnsiTheme="minorHAnsi" w:cs="Arial"/>
                <w:sz w:val="20"/>
                <w:szCs w:val="20"/>
                <w:lang w:val="en-US"/>
              </w:rPr>
              <w:t>15</w:t>
            </w:r>
            <w:r w:rsidR="00BF6E7D" w:rsidRPr="009739F7">
              <w:rPr>
                <w:rFonts w:asciiTheme="minorHAnsi" w:hAnsiTheme="minorHAnsi" w:cs="Arial"/>
                <w:sz w:val="20"/>
                <w:szCs w:val="20"/>
                <w:lang w:val="en-US"/>
              </w:rPr>
              <w:t>)</w:t>
            </w:r>
          </w:p>
        </w:tc>
        <w:tc>
          <w:tcPr>
            <w:tcW w:w="2858" w:type="dxa"/>
            <w:shd w:val="clear" w:color="auto" w:fill="auto"/>
          </w:tcPr>
          <w:p w:rsidR="00BF6E7D" w:rsidRDefault="00530E6E" w:rsidP="009739F7">
            <w:pPr>
              <w:spacing w:after="0" w:line="240" w:lineRule="auto"/>
              <w:contextualSpacing/>
              <w:rPr>
                <w:rFonts w:asciiTheme="minorHAnsi" w:eastAsiaTheme="minorHAnsi" w:hAnsiTheme="minorHAnsi" w:cs="Arial"/>
                <w:color w:val="000000" w:themeColor="text1"/>
                <w:sz w:val="20"/>
                <w:szCs w:val="20"/>
                <w:lang w:val="en-US" w:eastAsia="en-US"/>
              </w:rPr>
            </w:pPr>
            <w:r w:rsidRPr="009739F7">
              <w:rPr>
                <w:rFonts w:asciiTheme="minorHAnsi" w:eastAsiaTheme="minorHAnsi" w:hAnsiTheme="minorHAnsi" w:cs="Arial"/>
                <w:color w:val="000000" w:themeColor="text1"/>
                <w:sz w:val="20"/>
                <w:szCs w:val="20"/>
                <w:lang w:val="en-US" w:eastAsia="en-US"/>
              </w:rPr>
              <w:t>Submission has critical errors related to grammar, spelling, syntax, or organization that prevent understanding of ideas</w:t>
            </w:r>
          </w:p>
          <w:p w:rsidR="009739F7" w:rsidRPr="009739F7" w:rsidRDefault="009739F7" w:rsidP="009739F7">
            <w:pPr>
              <w:spacing w:after="0" w:line="240" w:lineRule="auto"/>
              <w:contextualSpacing/>
              <w:rPr>
                <w:rFonts w:asciiTheme="minorHAnsi" w:eastAsiaTheme="minorHAnsi" w:hAnsiTheme="minorHAnsi" w:cs="Arial"/>
                <w:color w:val="000000" w:themeColor="text1"/>
                <w:sz w:val="20"/>
                <w:szCs w:val="20"/>
                <w:lang w:val="en-US" w:eastAsia="en-US"/>
              </w:rPr>
            </w:pPr>
          </w:p>
          <w:p w:rsidR="00530E6E" w:rsidRPr="009739F7" w:rsidRDefault="00BF6E7D" w:rsidP="009739F7">
            <w:pPr>
              <w:spacing w:after="0" w:line="240" w:lineRule="auto"/>
              <w:contextualSpacing/>
              <w:rPr>
                <w:rFonts w:asciiTheme="minorHAnsi" w:eastAsiaTheme="minorHAnsi" w:hAnsiTheme="minorHAnsi" w:cs="Arial"/>
                <w:color w:val="000000" w:themeColor="text1"/>
                <w:sz w:val="20"/>
                <w:szCs w:val="20"/>
                <w:lang w:val="en-US" w:eastAsia="en-US"/>
              </w:rPr>
            </w:pPr>
            <w:r w:rsidRPr="009739F7">
              <w:rPr>
                <w:rFonts w:asciiTheme="minorHAnsi" w:hAnsiTheme="minorHAnsi" w:cs="Arial"/>
                <w:sz w:val="20"/>
                <w:szCs w:val="20"/>
                <w:lang w:val="en-US"/>
              </w:rPr>
              <w:t>(0-</w:t>
            </w:r>
            <w:r w:rsidR="000B4C68" w:rsidRPr="009739F7">
              <w:rPr>
                <w:rFonts w:asciiTheme="minorHAnsi" w:hAnsiTheme="minorHAnsi" w:cs="Arial"/>
                <w:sz w:val="20"/>
                <w:szCs w:val="20"/>
                <w:lang w:val="en-US"/>
              </w:rPr>
              <w:t>13</w:t>
            </w:r>
            <w:r w:rsidRPr="009739F7">
              <w:rPr>
                <w:rFonts w:asciiTheme="minorHAnsi" w:hAnsiTheme="minorHAnsi" w:cs="Arial"/>
                <w:sz w:val="20"/>
                <w:szCs w:val="20"/>
                <w:lang w:val="en-US"/>
              </w:rPr>
              <w:t>)</w:t>
            </w:r>
          </w:p>
        </w:tc>
        <w:tc>
          <w:tcPr>
            <w:tcW w:w="1217" w:type="dxa"/>
            <w:shd w:val="clear" w:color="auto" w:fill="auto"/>
          </w:tcPr>
          <w:p w:rsidR="00530E6E" w:rsidRPr="009739F7" w:rsidRDefault="000B4C68" w:rsidP="009739F7">
            <w:pPr>
              <w:shd w:val="clear" w:color="auto" w:fill="FFFFFF"/>
              <w:tabs>
                <w:tab w:val="left" w:pos="720"/>
              </w:tabs>
              <w:suppressAutoHyphens/>
              <w:snapToGrid w:val="0"/>
              <w:spacing w:after="0" w:line="240" w:lineRule="auto"/>
              <w:jc w:val="center"/>
              <w:rPr>
                <w:rFonts w:asciiTheme="minorHAnsi" w:eastAsia="Lucida Sans Unicode" w:hAnsiTheme="minorHAnsi" w:cs="Arial"/>
                <w:kern w:val="1"/>
                <w:sz w:val="20"/>
                <w:szCs w:val="20"/>
                <w:lang w:val="en-US" w:eastAsia="ar-SA"/>
              </w:rPr>
            </w:pPr>
            <w:r w:rsidRPr="009739F7">
              <w:rPr>
                <w:rFonts w:asciiTheme="minorHAnsi" w:eastAsia="Lucida Sans Unicode" w:hAnsiTheme="minorHAnsi" w:cs="Arial"/>
                <w:kern w:val="1"/>
                <w:sz w:val="20"/>
                <w:szCs w:val="20"/>
                <w:lang w:val="en-US" w:eastAsia="ar-SA"/>
              </w:rPr>
              <w:t>20</w:t>
            </w:r>
          </w:p>
        </w:tc>
      </w:tr>
      <w:tr w:rsidR="00530E6E" w:rsidRPr="009739F7" w:rsidTr="009739F7">
        <w:trPr>
          <w:cantSplit/>
          <w:jc w:val="center"/>
        </w:trPr>
        <w:tc>
          <w:tcPr>
            <w:tcW w:w="13458" w:type="dxa"/>
            <w:gridSpan w:val="5"/>
            <w:shd w:val="clear" w:color="auto" w:fill="auto"/>
          </w:tcPr>
          <w:p w:rsidR="00530E6E" w:rsidRPr="009739F7" w:rsidRDefault="009739F7" w:rsidP="009739F7">
            <w:pPr>
              <w:spacing w:after="0" w:line="240" w:lineRule="auto"/>
              <w:jc w:val="right"/>
              <w:rPr>
                <w:rFonts w:asciiTheme="minorHAnsi" w:eastAsiaTheme="minorHAnsi" w:hAnsiTheme="minorHAnsi" w:cs="Arial"/>
                <w:b/>
                <w:sz w:val="20"/>
                <w:szCs w:val="20"/>
                <w:lang w:val="en-US" w:eastAsia="en-US"/>
              </w:rPr>
            </w:pPr>
            <w:r>
              <w:rPr>
                <w:rFonts w:asciiTheme="minorHAnsi" w:eastAsiaTheme="minorHAnsi" w:hAnsiTheme="minorHAnsi" w:cs="Arial"/>
                <w:b/>
                <w:sz w:val="20"/>
                <w:szCs w:val="20"/>
                <w:lang w:val="en-US" w:eastAsia="en-US"/>
              </w:rPr>
              <w:t>Total</w:t>
            </w:r>
          </w:p>
          <w:p w:rsidR="00530E6E" w:rsidRPr="009739F7" w:rsidRDefault="00530E6E" w:rsidP="009739F7">
            <w:pPr>
              <w:spacing w:after="0" w:line="240" w:lineRule="auto"/>
              <w:rPr>
                <w:rFonts w:asciiTheme="minorHAnsi" w:eastAsiaTheme="minorHAnsi" w:hAnsiTheme="minorHAnsi" w:cs="Arial"/>
                <w:b/>
                <w:sz w:val="20"/>
                <w:szCs w:val="20"/>
                <w:lang w:val="en-US" w:eastAsia="en-US"/>
              </w:rPr>
            </w:pPr>
            <w:r w:rsidRPr="009739F7">
              <w:rPr>
                <w:rFonts w:asciiTheme="minorHAnsi" w:eastAsiaTheme="minorHAnsi" w:hAnsiTheme="minorHAnsi" w:cs="Arial"/>
                <w:b/>
                <w:sz w:val="20"/>
                <w:szCs w:val="20"/>
                <w:lang w:val="en-US" w:eastAsia="en-US"/>
              </w:rPr>
              <w:t>Comments:</w:t>
            </w:r>
          </w:p>
        </w:tc>
        <w:tc>
          <w:tcPr>
            <w:tcW w:w="1217" w:type="dxa"/>
            <w:shd w:val="clear" w:color="auto" w:fill="auto"/>
          </w:tcPr>
          <w:p w:rsidR="00530E6E" w:rsidRPr="009739F7" w:rsidRDefault="00530E6E" w:rsidP="009739F7">
            <w:pPr>
              <w:spacing w:after="0" w:line="240" w:lineRule="auto"/>
              <w:jc w:val="center"/>
              <w:rPr>
                <w:rFonts w:asciiTheme="minorHAnsi" w:eastAsiaTheme="minorHAnsi" w:hAnsiTheme="minorHAnsi" w:cs="Arial"/>
                <w:b/>
                <w:sz w:val="20"/>
                <w:szCs w:val="20"/>
                <w:lang w:val="en-US" w:eastAsia="en-US"/>
              </w:rPr>
            </w:pPr>
            <w:r w:rsidRPr="009739F7">
              <w:rPr>
                <w:rFonts w:asciiTheme="minorHAnsi" w:eastAsiaTheme="minorHAnsi" w:hAnsiTheme="minorHAnsi" w:cs="Arial"/>
                <w:b/>
                <w:sz w:val="20"/>
                <w:szCs w:val="20"/>
                <w:lang w:val="en-US" w:eastAsia="en-US"/>
              </w:rPr>
              <w:t>100%</w:t>
            </w:r>
          </w:p>
        </w:tc>
      </w:tr>
    </w:tbl>
    <w:p w:rsidR="00530E6E" w:rsidRPr="009739F7" w:rsidRDefault="00530E6E" w:rsidP="009739F7">
      <w:pPr>
        <w:spacing w:after="0" w:line="240" w:lineRule="auto"/>
        <w:rPr>
          <w:rFonts w:cs="Arial"/>
          <w:sz w:val="20"/>
          <w:szCs w:val="20"/>
          <w:lang w:val="en-US"/>
        </w:rPr>
      </w:pPr>
    </w:p>
    <w:sectPr w:rsidR="00530E6E" w:rsidRPr="009739F7" w:rsidSect="009739F7">
      <w:head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152" w:rsidRDefault="00074152" w:rsidP="008C34E3">
      <w:pPr>
        <w:spacing w:after="0" w:line="240" w:lineRule="auto"/>
      </w:pPr>
      <w:r>
        <w:separator/>
      </w:r>
    </w:p>
  </w:endnote>
  <w:endnote w:type="continuationSeparator" w:id="0">
    <w:p w:rsidR="00074152" w:rsidRDefault="00074152" w:rsidP="008C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152" w:rsidRDefault="00074152" w:rsidP="008C34E3">
      <w:pPr>
        <w:spacing w:after="0" w:line="240" w:lineRule="auto"/>
      </w:pPr>
      <w:r>
        <w:separator/>
      </w:r>
    </w:p>
  </w:footnote>
  <w:footnote w:type="continuationSeparator" w:id="0">
    <w:p w:rsidR="00074152" w:rsidRDefault="00074152" w:rsidP="008C3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A91" w:rsidRDefault="005B7A91" w:rsidP="008C34E3">
    <w:pPr>
      <w:pStyle w:val="Header"/>
      <w:jc w:val="center"/>
    </w:pPr>
    <w:r>
      <w:rPr>
        <w:noProof/>
        <w:lang w:val="en-US" w:eastAsia="en-US"/>
      </w:rPr>
      <w:drawing>
        <wp:inline distT="0" distB="0" distL="0" distR="0" wp14:anchorId="36BF3684" wp14:editId="609B31DB">
          <wp:extent cx="2743200" cy="414655"/>
          <wp:effectExtent l="0" t="0" r="0" b="4445"/>
          <wp:docPr id="2" name="Picture 2"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14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0F70"/>
    <w:multiLevelType w:val="hybridMultilevel"/>
    <w:tmpl w:val="8CC4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13EA9"/>
    <w:multiLevelType w:val="hybridMultilevel"/>
    <w:tmpl w:val="310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553D89"/>
    <w:multiLevelType w:val="hybridMultilevel"/>
    <w:tmpl w:val="8CBE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EB4DAC"/>
    <w:multiLevelType w:val="hybridMultilevel"/>
    <w:tmpl w:val="E5A4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DC3"/>
    <w:rsid w:val="000139ED"/>
    <w:rsid w:val="00036D8F"/>
    <w:rsid w:val="000449C2"/>
    <w:rsid w:val="0007295D"/>
    <w:rsid w:val="00074152"/>
    <w:rsid w:val="00093158"/>
    <w:rsid w:val="00094F79"/>
    <w:rsid w:val="000B46F2"/>
    <w:rsid w:val="000B4C68"/>
    <w:rsid w:val="000C6A1B"/>
    <w:rsid w:val="00183276"/>
    <w:rsid w:val="001F5F88"/>
    <w:rsid w:val="00246AE5"/>
    <w:rsid w:val="0027792E"/>
    <w:rsid w:val="0028706E"/>
    <w:rsid w:val="002B5996"/>
    <w:rsid w:val="00374A7A"/>
    <w:rsid w:val="003849F7"/>
    <w:rsid w:val="00406F3B"/>
    <w:rsid w:val="004E1DC3"/>
    <w:rsid w:val="00530E6E"/>
    <w:rsid w:val="00562CB2"/>
    <w:rsid w:val="005A325A"/>
    <w:rsid w:val="005B7A91"/>
    <w:rsid w:val="00631033"/>
    <w:rsid w:val="00724621"/>
    <w:rsid w:val="00761511"/>
    <w:rsid w:val="00813F23"/>
    <w:rsid w:val="00876BCD"/>
    <w:rsid w:val="00885947"/>
    <w:rsid w:val="008A0E71"/>
    <w:rsid w:val="008C34E3"/>
    <w:rsid w:val="008D32E6"/>
    <w:rsid w:val="00911049"/>
    <w:rsid w:val="009371BD"/>
    <w:rsid w:val="009412B8"/>
    <w:rsid w:val="009739F7"/>
    <w:rsid w:val="009B63B5"/>
    <w:rsid w:val="009D2CEA"/>
    <w:rsid w:val="00A005D9"/>
    <w:rsid w:val="00A35F3C"/>
    <w:rsid w:val="00AC045A"/>
    <w:rsid w:val="00AD37E1"/>
    <w:rsid w:val="00B14289"/>
    <w:rsid w:val="00B93AEF"/>
    <w:rsid w:val="00B946DA"/>
    <w:rsid w:val="00BA6E75"/>
    <w:rsid w:val="00BB235A"/>
    <w:rsid w:val="00BC774A"/>
    <w:rsid w:val="00BF6E7D"/>
    <w:rsid w:val="00C36AF7"/>
    <w:rsid w:val="00C819FD"/>
    <w:rsid w:val="00CD73DD"/>
    <w:rsid w:val="00D06266"/>
    <w:rsid w:val="00D62548"/>
    <w:rsid w:val="00D649B2"/>
    <w:rsid w:val="00E24B70"/>
    <w:rsid w:val="00E72886"/>
    <w:rsid w:val="00F35A5A"/>
    <w:rsid w:val="00F62E11"/>
    <w:rsid w:val="00F77A3F"/>
    <w:rsid w:val="00F876E9"/>
    <w:rsid w:val="00FA2D88"/>
    <w:rsid w:val="00FA51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DADC9-45B1-43D2-8D7E-9AE295DE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1DC3"/>
    <w:rPr>
      <w:rFonts w:ascii="Calibri" w:eastAsia="Times New Roman" w:hAnsi="Calibri" w:cs="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E6E"/>
    <w:rPr>
      <w:color w:val="0000FF" w:themeColor="hyperlink"/>
      <w:u w:val="single"/>
    </w:rPr>
  </w:style>
  <w:style w:type="paragraph" w:styleId="Header">
    <w:name w:val="header"/>
    <w:basedOn w:val="Normal"/>
    <w:link w:val="HeaderChar"/>
    <w:uiPriority w:val="99"/>
    <w:unhideWhenUsed/>
    <w:rsid w:val="008C3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4E3"/>
    <w:rPr>
      <w:rFonts w:ascii="Calibri" w:eastAsia="Times New Roman" w:hAnsi="Calibri" w:cs="Times New Roman"/>
      <w:lang w:val="en-AU" w:eastAsia="en-AU"/>
    </w:rPr>
  </w:style>
  <w:style w:type="paragraph" w:styleId="Footer">
    <w:name w:val="footer"/>
    <w:basedOn w:val="Normal"/>
    <w:link w:val="FooterChar"/>
    <w:uiPriority w:val="99"/>
    <w:unhideWhenUsed/>
    <w:rsid w:val="008C3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4E3"/>
    <w:rPr>
      <w:rFonts w:ascii="Calibri" w:eastAsia="Times New Roman" w:hAnsi="Calibri" w:cs="Times New Roman"/>
      <w:lang w:val="en-AU" w:eastAsia="en-AU"/>
    </w:rPr>
  </w:style>
  <w:style w:type="paragraph" w:styleId="BalloonText">
    <w:name w:val="Balloon Text"/>
    <w:basedOn w:val="Normal"/>
    <w:link w:val="BalloonTextChar"/>
    <w:uiPriority w:val="99"/>
    <w:semiHidden/>
    <w:unhideWhenUsed/>
    <w:rsid w:val="008C3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4E3"/>
    <w:rPr>
      <w:rFonts w:ascii="Tahoma" w:eastAsia="Times New Roman" w:hAnsi="Tahoma" w:cs="Tahoma"/>
      <w:sz w:val="16"/>
      <w:szCs w:val="16"/>
      <w:lang w:val="en-AU" w:eastAsia="en-AU"/>
    </w:rPr>
  </w:style>
  <w:style w:type="paragraph" w:styleId="ListParagraph">
    <w:name w:val="List Paragraph"/>
    <w:basedOn w:val="Normal"/>
    <w:uiPriority w:val="34"/>
    <w:qFormat/>
    <w:rsid w:val="00CD73DD"/>
    <w:pPr>
      <w:ind w:left="720"/>
      <w:contextualSpacing/>
    </w:pPr>
  </w:style>
  <w:style w:type="character" w:customStyle="1" w:styleId="apple-converted-space">
    <w:name w:val="apple-converted-space"/>
    <w:basedOn w:val="DefaultParagraphFont"/>
    <w:rsid w:val="00F77A3F"/>
  </w:style>
  <w:style w:type="character" w:styleId="CommentReference">
    <w:name w:val="annotation reference"/>
    <w:basedOn w:val="DefaultParagraphFont"/>
    <w:uiPriority w:val="99"/>
    <w:semiHidden/>
    <w:unhideWhenUsed/>
    <w:rsid w:val="009D2CEA"/>
    <w:rPr>
      <w:sz w:val="16"/>
      <w:szCs w:val="16"/>
    </w:rPr>
  </w:style>
  <w:style w:type="paragraph" w:styleId="CommentText">
    <w:name w:val="annotation text"/>
    <w:basedOn w:val="Normal"/>
    <w:link w:val="CommentTextChar"/>
    <w:uiPriority w:val="99"/>
    <w:semiHidden/>
    <w:unhideWhenUsed/>
    <w:rsid w:val="009D2CEA"/>
    <w:pPr>
      <w:spacing w:line="240" w:lineRule="auto"/>
    </w:pPr>
    <w:rPr>
      <w:sz w:val="20"/>
      <w:szCs w:val="20"/>
    </w:rPr>
  </w:style>
  <w:style w:type="character" w:customStyle="1" w:styleId="CommentTextChar">
    <w:name w:val="Comment Text Char"/>
    <w:basedOn w:val="DefaultParagraphFont"/>
    <w:link w:val="CommentText"/>
    <w:uiPriority w:val="99"/>
    <w:semiHidden/>
    <w:rsid w:val="009D2CEA"/>
    <w:rPr>
      <w:rFonts w:ascii="Calibri" w:eastAsia="Times New Roman" w:hAnsi="Calibri"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9D2CEA"/>
    <w:rPr>
      <w:b/>
      <w:bCs/>
    </w:rPr>
  </w:style>
  <w:style w:type="character" w:customStyle="1" w:styleId="CommentSubjectChar">
    <w:name w:val="Comment Subject Char"/>
    <w:basedOn w:val="CommentTextChar"/>
    <w:link w:val="CommentSubject"/>
    <w:uiPriority w:val="99"/>
    <w:semiHidden/>
    <w:rsid w:val="009D2CEA"/>
    <w:rPr>
      <w:rFonts w:ascii="Calibri" w:eastAsia="Times New Roman" w:hAnsi="Calibri" w:cs="Times New Roman"/>
      <w:b/>
      <w:bCs/>
      <w:sz w:val="20"/>
      <w:szCs w:val="20"/>
      <w:lang w:val="en-AU" w:eastAsia="en-AU"/>
    </w:rPr>
  </w:style>
  <w:style w:type="character" w:styleId="FollowedHyperlink">
    <w:name w:val="FollowedHyperlink"/>
    <w:basedOn w:val="DefaultParagraphFont"/>
    <w:uiPriority w:val="99"/>
    <w:semiHidden/>
    <w:unhideWhenUsed/>
    <w:rsid w:val="005B7A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zproxy.snhu.edu/login?url=http://search.proquest.com/docview/1500362303?accountid=378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zproxy.snhu.edu/login?url=http://search.proquest.com/docview/608039093?accountid=378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libguides.snhu.edu/content.php?pid=228237&amp;sid=190932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zproxy.snhu.edu/login?url=http://search.proquest.com/docview/1507294864?accountid=3783" TargetMode="External"/><Relationship Id="rId5" Type="http://schemas.openxmlformats.org/officeDocument/2006/relationships/styles" Target="styles.xml"/><Relationship Id="rId15" Type="http://schemas.openxmlformats.org/officeDocument/2006/relationships/hyperlink" Target="http://www.youtube.com/watch?v=yTR4sAD_4qM" TargetMode="External"/><Relationship Id="rId10" Type="http://schemas.openxmlformats.org/officeDocument/2006/relationships/hyperlink" Target="http://ezproxy.snhu.edu/login?url=http://search.ebscohost.com/login.aspx?direct=true&amp;AuthType=cookie,ip,url,cpid&amp;custid=shapiro&amp;db=a9h&amp;AN=59411763&amp;site=ehost-liv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zproxy.snhu.edu/login?url=http://search.proquest.com/docview/1459697749?accountid=37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FD86C-D628-4693-A134-B99398182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2B0F62-8E8B-426F-B89C-4D192118E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2900BC-5E90-43E8-B9CC-62106BAF1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Chell</cp:lastModifiedBy>
  <cp:revision>2</cp:revision>
  <dcterms:created xsi:type="dcterms:W3CDTF">2016-09-16T14:35:00Z</dcterms:created>
  <dcterms:modified xsi:type="dcterms:W3CDTF">2016-09-16T14:35:00Z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