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5C" w:rsidRPr="003F33C2" w:rsidRDefault="003F33C2" w:rsidP="003F33C2">
      <w:pPr>
        <w:jc w:val="center"/>
        <w:rPr>
          <w:b/>
          <w:outline/>
          <w:color w:val="44546A" w:themeColor="text2"/>
          <w:sz w:val="44"/>
          <w:szCs w:val="44"/>
          <w14:shadow w14:blurRad="0" w14:dist="38100" w14:dir="2700000" w14:sx="100000" w14:sy="100000" w14:kx="0" w14:ky="0" w14:algn="tl">
            <w14:schemeClr w14:val="accent2"/>
          </w14:shadow>
          <w14:textOutline w14:w="6604" w14:cap="flat" w14:cmpd="sng" w14:algn="ctr">
            <w14:solidFill>
              <w14:schemeClr w14:val="tx2">
                <w14:lumMod w14:val="50000"/>
              </w14:schemeClr>
            </w14:solidFill>
            <w14:prstDash w14:val="solid"/>
            <w14:round/>
          </w14:textOutline>
          <w14:textFill>
            <w14:solidFill>
              <w14:srgbClr w14:val="FFFFFF"/>
            </w14:solidFill>
          </w14:textFill>
        </w:rPr>
      </w:pPr>
      <w:r w:rsidRPr="003F33C2">
        <w:rPr>
          <w:b/>
          <w:outline/>
          <w:color w:val="44546A" w:themeColor="text2"/>
          <w:sz w:val="44"/>
          <w:szCs w:val="44"/>
          <w14:shadow w14:blurRad="0" w14:dist="38100" w14:dir="2700000" w14:sx="100000" w14:sy="100000" w14:kx="0" w14:ky="0" w14:algn="tl">
            <w14:schemeClr w14:val="accent2"/>
          </w14:shadow>
          <w14:textOutline w14:w="6604" w14:cap="flat" w14:cmpd="sng" w14:algn="ctr">
            <w14:solidFill>
              <w14:schemeClr w14:val="tx2">
                <w14:lumMod w14:val="50000"/>
              </w14:schemeClr>
            </w14:solidFill>
            <w14:prstDash w14:val="solid"/>
            <w14:round/>
          </w14:textOutline>
          <w14:textFill>
            <w14:solidFill>
              <w14:srgbClr w14:val="FFFFFF"/>
            </w14:solidFill>
          </w14:textFill>
        </w:rPr>
        <w:t>Assignment # 1</w:t>
      </w:r>
      <w:r>
        <w:rPr>
          <w:b/>
          <w:outline/>
          <w:color w:val="44546A" w:themeColor="text2"/>
          <w:sz w:val="44"/>
          <w:szCs w:val="44"/>
          <w14:shadow w14:blurRad="0" w14:dist="38100" w14:dir="2700000" w14:sx="100000" w14:sy="100000" w14:kx="0" w14:ky="0" w14:algn="tl">
            <w14:schemeClr w14:val="accent2"/>
          </w14:shadow>
          <w14:textOutline w14:w="6604" w14:cap="flat" w14:cmpd="sng" w14:algn="ctr">
            <w14:solidFill>
              <w14:schemeClr w14:val="tx2">
                <w14:lumMod w14:val="50000"/>
              </w14:schemeClr>
            </w14:solidFill>
            <w14:prstDash w14:val="solid"/>
            <w14:round/>
          </w14:textOutline>
          <w14:textFill>
            <w14:solidFill>
              <w14:srgbClr w14:val="FFFFFF"/>
            </w14:solidFill>
          </w14:textFill>
        </w:rPr>
        <w:t xml:space="preserve"> – Payroll Fundamental</w:t>
      </w:r>
    </w:p>
    <w:p w:rsidR="003F33C2" w:rsidRDefault="003F33C2">
      <w:pPr>
        <w:rPr>
          <w:rStyle w:val="quiztitle1"/>
          <w:rFonts w:ascii="Arial" w:hAnsi="Arial" w:cs="Arial"/>
          <w:caps/>
          <w:color w:val="000000"/>
          <w:spacing w:val="-12"/>
          <w:kern w:val="36"/>
          <w:sz w:val="36"/>
          <w:szCs w:val="36"/>
        </w:rPr>
      </w:pPr>
      <w:r>
        <w:rPr>
          <w:rStyle w:val="quiztitle1"/>
          <w:rFonts w:ascii="Arial" w:hAnsi="Arial" w:cs="Arial"/>
          <w:caps/>
          <w:color w:val="000000"/>
          <w:spacing w:val="-12"/>
          <w:kern w:val="36"/>
          <w:sz w:val="36"/>
          <w:szCs w:val="36"/>
        </w:rPr>
        <w:t>Canada Pension Plan Reporting Requirements on the T4</w:t>
      </w:r>
    </w:p>
    <w:p w:rsidR="003F33C2" w:rsidRPr="003F33C2" w:rsidRDefault="003F33C2" w:rsidP="003F33C2">
      <w:pPr>
        <w:spacing w:before="300" w:after="225" w:line="360" w:lineRule="atLeast"/>
        <w:outlineLvl w:val="2"/>
        <w:rPr>
          <w:rFonts w:ascii="Arial" w:eastAsia="Times New Roman" w:hAnsi="Arial" w:cs="Arial"/>
          <w:caps/>
          <w:color w:val="444444"/>
          <w:spacing w:val="-12"/>
          <w:sz w:val="37"/>
          <w:szCs w:val="37"/>
          <w:lang w:eastAsia="en-CA"/>
        </w:rPr>
      </w:pPr>
      <w:r w:rsidRPr="003F33C2">
        <w:rPr>
          <w:rFonts w:ascii="Arial" w:eastAsia="Times New Roman" w:hAnsi="Arial" w:cs="Arial"/>
          <w:caps/>
          <w:color w:val="444444"/>
          <w:spacing w:val="-12"/>
          <w:sz w:val="37"/>
          <w:szCs w:val="37"/>
          <w:lang w:eastAsia="en-CA"/>
        </w:rPr>
        <w:t>Scenario</w:t>
      </w:r>
    </w:p>
    <w:p w:rsidR="003F33C2" w:rsidRPr="003F33C2" w:rsidRDefault="003F33C2" w:rsidP="003F33C2">
      <w:pPr>
        <w:spacing w:after="240" w:line="360" w:lineRule="atLeast"/>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In May of the current year, your employer received a PIER report from the CRA that identified Canada Pension Plan (CPP) contribution deficiencies for employees in the organization who:</w:t>
      </w:r>
    </w:p>
    <w:p w:rsidR="003F33C2" w:rsidRPr="003F33C2" w:rsidRDefault="003F33C2" w:rsidP="003F33C2">
      <w:pPr>
        <w:numPr>
          <w:ilvl w:val="0"/>
          <w:numId w:val="1"/>
        </w:numPr>
        <w:spacing w:after="60" w:line="360" w:lineRule="atLeast"/>
        <w:ind w:left="540"/>
        <w:jc w:val="both"/>
        <w:rPr>
          <w:rFonts w:ascii="Helvetica" w:eastAsia="Times New Roman" w:hAnsi="Helvetica" w:cs="Helvetica"/>
          <w:color w:val="FF0000"/>
          <w:sz w:val="28"/>
          <w:szCs w:val="28"/>
          <w:lang w:eastAsia="en-CA"/>
        </w:rPr>
      </w:pPr>
      <w:r w:rsidRPr="003F33C2">
        <w:rPr>
          <w:rFonts w:ascii="Helvetica" w:eastAsia="Times New Roman" w:hAnsi="Helvetica" w:cs="Helvetica"/>
          <w:color w:val="FF0000"/>
          <w:sz w:val="28"/>
          <w:szCs w:val="28"/>
          <w:lang w:eastAsia="en-CA"/>
        </w:rPr>
        <w:t>turned 18 during the year</w:t>
      </w:r>
    </w:p>
    <w:p w:rsidR="003F33C2" w:rsidRPr="003F33C2" w:rsidRDefault="003F33C2" w:rsidP="003F33C2">
      <w:pPr>
        <w:numPr>
          <w:ilvl w:val="0"/>
          <w:numId w:val="1"/>
        </w:numPr>
        <w:spacing w:after="60" w:line="360" w:lineRule="atLeast"/>
        <w:ind w:left="540"/>
        <w:jc w:val="both"/>
        <w:rPr>
          <w:rFonts w:ascii="Helvetica" w:eastAsia="Times New Roman" w:hAnsi="Helvetica" w:cs="Helvetica"/>
          <w:color w:val="FF0000"/>
          <w:sz w:val="28"/>
          <w:szCs w:val="28"/>
          <w:lang w:eastAsia="en-CA"/>
        </w:rPr>
      </w:pPr>
      <w:r w:rsidRPr="003F33C2">
        <w:rPr>
          <w:rFonts w:ascii="Helvetica" w:eastAsia="Times New Roman" w:hAnsi="Helvetica" w:cs="Helvetica"/>
          <w:color w:val="FF0000"/>
          <w:sz w:val="28"/>
          <w:szCs w:val="28"/>
          <w:lang w:eastAsia="en-CA"/>
        </w:rPr>
        <w:t>turned 70 during the year</w:t>
      </w:r>
    </w:p>
    <w:p w:rsidR="003F33C2" w:rsidRPr="003F33C2" w:rsidRDefault="003F33C2" w:rsidP="003F33C2">
      <w:pPr>
        <w:numPr>
          <w:ilvl w:val="0"/>
          <w:numId w:val="1"/>
        </w:numPr>
        <w:spacing w:after="60" w:line="360" w:lineRule="atLeast"/>
        <w:ind w:left="540"/>
        <w:jc w:val="both"/>
        <w:rPr>
          <w:rFonts w:ascii="Helvetica" w:eastAsia="Times New Roman" w:hAnsi="Helvetica" w:cs="Helvetica"/>
          <w:color w:val="FF0000"/>
          <w:sz w:val="28"/>
          <w:szCs w:val="28"/>
          <w:lang w:eastAsia="en-CA"/>
        </w:rPr>
      </w:pPr>
      <w:r w:rsidRPr="003F33C2">
        <w:rPr>
          <w:rFonts w:ascii="Helvetica" w:eastAsia="Times New Roman" w:hAnsi="Helvetica" w:cs="Helvetica"/>
          <w:color w:val="FF0000"/>
          <w:sz w:val="28"/>
          <w:szCs w:val="28"/>
          <w:lang w:eastAsia="en-CA"/>
        </w:rPr>
        <w:t>had chosen to opt out of paying CPP by submitting a completed CPT30 form</w:t>
      </w:r>
    </w:p>
    <w:p w:rsidR="003F33C2" w:rsidRPr="003F33C2" w:rsidRDefault="003F33C2" w:rsidP="003F33C2">
      <w:pPr>
        <w:spacing w:after="240" w:line="360" w:lineRule="atLeast"/>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 xml:space="preserve">To avoid a recurrence, the Payroll Manager, Mary </w:t>
      </w:r>
      <w:proofErr w:type="spellStart"/>
      <w:r w:rsidRPr="003F33C2">
        <w:rPr>
          <w:rFonts w:ascii="Helvetica" w:eastAsia="Times New Roman" w:hAnsi="Helvetica" w:cs="Helvetica"/>
          <w:color w:val="000000"/>
          <w:sz w:val="28"/>
          <w:szCs w:val="28"/>
          <w:lang w:eastAsia="en-CA"/>
        </w:rPr>
        <w:t>Arnstein</w:t>
      </w:r>
      <w:proofErr w:type="spellEnd"/>
      <w:r w:rsidRPr="003F33C2">
        <w:rPr>
          <w:rFonts w:ascii="Helvetica" w:eastAsia="Times New Roman" w:hAnsi="Helvetica" w:cs="Helvetica"/>
          <w:color w:val="000000"/>
          <w:sz w:val="28"/>
          <w:szCs w:val="28"/>
          <w:lang w:eastAsia="en-CA"/>
        </w:rPr>
        <w:t xml:space="preserve">, has asked you to </w:t>
      </w:r>
      <w:r w:rsidRPr="003F33C2">
        <w:rPr>
          <w:rFonts w:ascii="Helvetica" w:eastAsia="Times New Roman" w:hAnsi="Helvetica" w:cs="Helvetica"/>
          <w:color w:val="FF0000"/>
          <w:sz w:val="28"/>
          <w:szCs w:val="28"/>
          <w:lang w:eastAsia="en-CA"/>
        </w:rPr>
        <w:t>prepare a summary of the CPP reporting requirements on T4 information slips.</w:t>
      </w:r>
      <w:r w:rsidRPr="003F33C2">
        <w:rPr>
          <w:rFonts w:ascii="Helvetica" w:eastAsia="Times New Roman" w:hAnsi="Helvetica" w:cs="Helvetica"/>
          <w:color w:val="000000"/>
          <w:sz w:val="28"/>
          <w:szCs w:val="28"/>
          <w:lang w:eastAsia="en-CA"/>
        </w:rPr>
        <w:t xml:space="preserve"> The summary will be used to validate the current payroll setup to ensure that the T4s will be completed properly in future. Provide information on the CPP related boxes that must be completed, including how any amounts are calculated, for employees who:</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are under 18 for the entire year</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turn 18 during the year</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are over 70 for the entire year</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turn 70 during the year</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submit a completed CPT30 form during the year, electing to stop contributing to the Canada Pension Plan</w:t>
      </w:r>
    </w:p>
    <w:p w:rsidR="003F33C2" w:rsidRPr="003F33C2" w:rsidRDefault="003F33C2" w:rsidP="003F33C2">
      <w:pPr>
        <w:numPr>
          <w:ilvl w:val="0"/>
          <w:numId w:val="2"/>
        </w:numPr>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submit a completed CPT30 form during the year, revoking their previous  election  to stop contributing to the Canada Pension Plan</w:t>
      </w:r>
    </w:p>
    <w:p w:rsidR="003F33C2" w:rsidRDefault="003F33C2" w:rsidP="003F33C2">
      <w:pPr>
        <w:shd w:val="clear" w:color="auto" w:fill="EEEEEE"/>
        <w:spacing w:after="240" w:line="360" w:lineRule="atLeast"/>
        <w:jc w:val="both"/>
        <w:rPr>
          <w:rFonts w:ascii="Helvetica" w:eastAsia="Times New Roman" w:hAnsi="Helvetica" w:cs="Helvetica"/>
          <w:color w:val="000000"/>
          <w:sz w:val="28"/>
          <w:szCs w:val="28"/>
          <w:lang w:eastAsia="en-CA"/>
        </w:rPr>
      </w:pPr>
    </w:p>
    <w:p w:rsidR="003F33C2" w:rsidRPr="003F33C2" w:rsidRDefault="003F33C2" w:rsidP="003F33C2">
      <w:pPr>
        <w:shd w:val="clear" w:color="auto" w:fill="EEEEEE"/>
        <w:spacing w:after="240" w:line="360" w:lineRule="atLeast"/>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 xml:space="preserve">Prepare your response (250 - 450 words) using correct spelling, grammar and punctuation. You will be penalized if you are </w:t>
      </w:r>
      <w:r w:rsidRPr="003F33C2">
        <w:rPr>
          <w:rFonts w:ascii="Helvetica" w:eastAsia="Times New Roman" w:hAnsi="Helvetica" w:cs="Helvetica"/>
          <w:color w:val="000000"/>
          <w:sz w:val="28"/>
          <w:szCs w:val="28"/>
          <w:u w:val="single"/>
          <w:lang w:eastAsia="en-CA"/>
        </w:rPr>
        <w:t>excessively</w:t>
      </w:r>
      <w:r w:rsidRPr="003F33C2">
        <w:rPr>
          <w:rFonts w:ascii="Helvetica" w:eastAsia="Times New Roman" w:hAnsi="Helvetica" w:cs="Helvetica"/>
          <w:color w:val="000000"/>
          <w:sz w:val="28"/>
          <w:szCs w:val="28"/>
          <w:lang w:eastAsia="en-CA"/>
        </w:rPr>
        <w:t xml:space="preserve"> over or under the suggested word count. Your response to this question must be stated in </w:t>
      </w:r>
      <w:r w:rsidRPr="003F33C2">
        <w:rPr>
          <w:rFonts w:ascii="Helvetica" w:eastAsia="Times New Roman" w:hAnsi="Helvetica" w:cs="Helvetica"/>
          <w:color w:val="000000"/>
          <w:sz w:val="28"/>
          <w:szCs w:val="28"/>
          <w:lang w:eastAsia="en-CA"/>
        </w:rPr>
        <w:lastRenderedPageBreak/>
        <w:t>your own words and should be based on the course material, your experiences, knowledge gained through the course and at least one external government resource.</w:t>
      </w:r>
    </w:p>
    <w:p w:rsidR="003F33C2" w:rsidRPr="003F33C2" w:rsidRDefault="003F33C2" w:rsidP="003F33C2">
      <w:pPr>
        <w:shd w:val="clear" w:color="auto" w:fill="EEEEEE"/>
        <w:spacing w:after="240" w:line="360" w:lineRule="atLeast"/>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Any responses taken directly from the external government resource or course material will not be accepted. Information referenced from the government resource(s) and the course material must be cited. For example:</w:t>
      </w:r>
    </w:p>
    <w:p w:rsidR="003F33C2" w:rsidRPr="003F33C2" w:rsidRDefault="003F33C2" w:rsidP="003F33C2">
      <w:pPr>
        <w:numPr>
          <w:ilvl w:val="0"/>
          <w:numId w:val="3"/>
        </w:numPr>
        <w:shd w:val="clear" w:color="auto" w:fill="EEEEEE"/>
        <w:spacing w:after="60"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 xml:space="preserve">if you are referencing the Canada Revenue Agency’s Employers' Guide - Payroll Deductions and Remittances – T4001, state the URL where the information can be found, </w:t>
      </w:r>
      <w:hyperlink r:id="rId5" w:history="1">
        <w:r w:rsidRPr="003F33C2">
          <w:rPr>
            <w:rFonts w:ascii="Helvetica" w:eastAsia="Times New Roman" w:hAnsi="Helvetica" w:cs="Helvetica"/>
            <w:color w:val="205C90"/>
            <w:sz w:val="28"/>
            <w:szCs w:val="28"/>
            <w:lang w:eastAsia="en-CA"/>
          </w:rPr>
          <w:t>http://www.cra-arc.gc.ca/E/pub/tg/t4001/README.html</w:t>
        </w:r>
      </w:hyperlink>
      <w:r w:rsidRPr="003F33C2">
        <w:rPr>
          <w:rFonts w:ascii="Helvetica" w:eastAsia="Times New Roman" w:hAnsi="Helvetica" w:cs="Helvetica"/>
          <w:color w:val="000000"/>
          <w:sz w:val="28"/>
          <w:szCs w:val="28"/>
          <w:lang w:eastAsia="en-CA"/>
        </w:rPr>
        <w:t xml:space="preserve"> and the page number, if applicable</w:t>
      </w:r>
    </w:p>
    <w:p w:rsidR="003F33C2" w:rsidRPr="003F33C2" w:rsidRDefault="003F33C2" w:rsidP="003F33C2">
      <w:pPr>
        <w:numPr>
          <w:ilvl w:val="0"/>
          <w:numId w:val="4"/>
        </w:numPr>
        <w:shd w:val="clear" w:color="auto" w:fill="EEEEEE"/>
        <w:spacing w:line="360" w:lineRule="atLeast"/>
        <w:ind w:left="540"/>
        <w:jc w:val="both"/>
        <w:rPr>
          <w:rFonts w:ascii="Helvetica" w:eastAsia="Times New Roman" w:hAnsi="Helvetica" w:cs="Helvetica"/>
          <w:color w:val="000000"/>
          <w:sz w:val="28"/>
          <w:szCs w:val="28"/>
          <w:lang w:eastAsia="en-CA"/>
        </w:rPr>
      </w:pPr>
      <w:r w:rsidRPr="003F33C2">
        <w:rPr>
          <w:rFonts w:ascii="Helvetica" w:eastAsia="Times New Roman" w:hAnsi="Helvetica" w:cs="Helvetica"/>
          <w:color w:val="000000"/>
          <w:sz w:val="28"/>
          <w:szCs w:val="28"/>
          <w:lang w:eastAsia="en-CA"/>
        </w:rPr>
        <w:t>if you are referencing the course material, state the course name, chapter and page number where the information can be found</w:t>
      </w:r>
    </w:p>
    <w:p w:rsidR="003F33C2" w:rsidRDefault="003F33C2"/>
    <w:p w:rsidR="003F33C2" w:rsidRDefault="003F33C2">
      <w:pPr>
        <w:rPr>
          <w:rFonts w:ascii="Helvetica" w:hAnsi="Helvetica" w:cs="Helvetica"/>
          <w:color w:val="000000"/>
          <w:sz w:val="28"/>
          <w:szCs w:val="28"/>
        </w:rPr>
      </w:pPr>
      <w:r w:rsidRPr="003F33C2">
        <w:rPr>
          <w:rFonts w:ascii="Helvetica" w:hAnsi="Helvetica" w:cs="Helvetica"/>
          <w:color w:val="000000"/>
          <w:sz w:val="28"/>
          <w:szCs w:val="28"/>
        </w:rPr>
        <w:t>It is recommended that you prepare your response using MS Word</w:t>
      </w:r>
      <w:r>
        <w:rPr>
          <w:rFonts w:ascii="Helvetica" w:hAnsi="Helvetica" w:cs="Helvetica"/>
          <w:color w:val="000000"/>
          <w:sz w:val="28"/>
          <w:szCs w:val="28"/>
        </w:rPr>
        <w:t>.</w:t>
      </w:r>
    </w:p>
    <w:p w:rsidR="003F33C2" w:rsidRPr="003F33C2" w:rsidRDefault="003F33C2">
      <w:pPr>
        <w:rPr>
          <w:sz w:val="28"/>
          <w:szCs w:val="28"/>
        </w:rPr>
      </w:pPr>
      <w:r>
        <w:rPr>
          <w:rFonts w:ascii="Helvetica" w:hAnsi="Helvetica" w:cs="Helvetica"/>
          <w:color w:val="000000"/>
          <w:sz w:val="28"/>
          <w:szCs w:val="28"/>
        </w:rPr>
        <w:t>Note: It is recommended using the Canada Revenue Agency’s Employer’s Guide, is most specific contains.</w:t>
      </w:r>
      <w:bookmarkStart w:id="0" w:name="_GoBack"/>
      <w:bookmarkEnd w:id="0"/>
    </w:p>
    <w:sectPr w:rsidR="003F33C2" w:rsidRPr="003F33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97B19"/>
    <w:multiLevelType w:val="multilevel"/>
    <w:tmpl w:val="84B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1673B3"/>
    <w:multiLevelType w:val="multilevel"/>
    <w:tmpl w:val="CCDC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191018"/>
    <w:multiLevelType w:val="multilevel"/>
    <w:tmpl w:val="1C5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F7208E"/>
    <w:multiLevelType w:val="multilevel"/>
    <w:tmpl w:val="2048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C2"/>
    <w:rsid w:val="003F33C2"/>
    <w:rsid w:val="00F21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323C-B159-402E-865C-CDF88A9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ztitle1">
    <w:name w:val="quiztitle1"/>
    <w:basedOn w:val="DefaultParagraphFont"/>
    <w:rsid w:val="003F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3935">
      <w:bodyDiv w:val="1"/>
      <w:marLeft w:val="0"/>
      <w:marRight w:val="0"/>
      <w:marTop w:val="0"/>
      <w:marBottom w:val="0"/>
      <w:divBdr>
        <w:top w:val="none" w:sz="0" w:space="0" w:color="auto"/>
        <w:left w:val="none" w:sz="0" w:space="0" w:color="auto"/>
        <w:bottom w:val="none" w:sz="0" w:space="0" w:color="auto"/>
        <w:right w:val="none" w:sz="0" w:space="0" w:color="auto"/>
      </w:divBdr>
      <w:divsChild>
        <w:div w:id="384912749">
          <w:marLeft w:val="0"/>
          <w:marRight w:val="0"/>
          <w:marTop w:val="0"/>
          <w:marBottom w:val="0"/>
          <w:divBdr>
            <w:top w:val="none" w:sz="0" w:space="0" w:color="auto"/>
            <w:left w:val="none" w:sz="0" w:space="0" w:color="auto"/>
            <w:bottom w:val="none" w:sz="0" w:space="0" w:color="auto"/>
            <w:right w:val="none" w:sz="0" w:space="0" w:color="auto"/>
          </w:divBdr>
          <w:divsChild>
            <w:div w:id="318313477">
              <w:marLeft w:val="0"/>
              <w:marRight w:val="0"/>
              <w:marTop w:val="0"/>
              <w:marBottom w:val="750"/>
              <w:divBdr>
                <w:top w:val="none" w:sz="0" w:space="0" w:color="auto"/>
                <w:left w:val="none" w:sz="0" w:space="0" w:color="auto"/>
                <w:bottom w:val="none" w:sz="0" w:space="0" w:color="auto"/>
                <w:right w:val="none" w:sz="0" w:space="0" w:color="auto"/>
              </w:divBdr>
              <w:divsChild>
                <w:div w:id="186065426">
                  <w:marLeft w:val="0"/>
                  <w:marRight w:val="0"/>
                  <w:marTop w:val="0"/>
                  <w:marBottom w:val="0"/>
                  <w:divBdr>
                    <w:top w:val="none" w:sz="0" w:space="0" w:color="auto"/>
                    <w:left w:val="none" w:sz="0" w:space="0" w:color="auto"/>
                    <w:bottom w:val="none" w:sz="0" w:space="0" w:color="auto"/>
                    <w:right w:val="none" w:sz="0" w:space="0" w:color="auto"/>
                  </w:divBdr>
                  <w:divsChild>
                    <w:div w:id="1975325354">
                      <w:marLeft w:val="60"/>
                      <w:marRight w:val="60"/>
                      <w:marTop w:val="240"/>
                      <w:marBottom w:val="480"/>
                      <w:divBdr>
                        <w:top w:val="none" w:sz="0" w:space="0" w:color="auto"/>
                        <w:left w:val="none" w:sz="0" w:space="0" w:color="auto"/>
                        <w:bottom w:val="none" w:sz="0" w:space="0" w:color="auto"/>
                        <w:right w:val="none" w:sz="0" w:space="0" w:color="auto"/>
                      </w:divBdr>
                      <w:divsChild>
                        <w:div w:id="711543312">
                          <w:marLeft w:val="0"/>
                          <w:marRight w:val="0"/>
                          <w:marTop w:val="0"/>
                          <w:marBottom w:val="0"/>
                          <w:divBdr>
                            <w:top w:val="none" w:sz="0" w:space="0" w:color="auto"/>
                            <w:left w:val="none" w:sz="0" w:space="0" w:color="auto"/>
                            <w:bottom w:val="none" w:sz="0" w:space="0" w:color="auto"/>
                            <w:right w:val="none" w:sz="0" w:space="0" w:color="auto"/>
                          </w:divBdr>
                          <w:divsChild>
                            <w:div w:id="1182933776">
                              <w:marLeft w:val="0"/>
                              <w:marRight w:val="0"/>
                              <w:marTop w:val="0"/>
                              <w:marBottom w:val="0"/>
                              <w:divBdr>
                                <w:top w:val="none" w:sz="0" w:space="0" w:color="auto"/>
                                <w:left w:val="none" w:sz="0" w:space="0" w:color="auto"/>
                                <w:bottom w:val="none" w:sz="0" w:space="0" w:color="auto"/>
                                <w:right w:val="none" w:sz="0" w:space="0" w:color="auto"/>
                              </w:divBdr>
                              <w:divsChild>
                                <w:div w:id="1829052700">
                                  <w:marLeft w:val="0"/>
                                  <w:marRight w:val="0"/>
                                  <w:marTop w:val="0"/>
                                  <w:marBottom w:val="0"/>
                                  <w:divBdr>
                                    <w:top w:val="none" w:sz="0" w:space="0" w:color="auto"/>
                                    <w:left w:val="none" w:sz="0" w:space="0" w:color="auto"/>
                                    <w:bottom w:val="none" w:sz="0" w:space="0" w:color="auto"/>
                                    <w:right w:val="none" w:sz="0" w:space="0" w:color="auto"/>
                                  </w:divBdr>
                                  <w:divsChild>
                                    <w:div w:id="1535996225">
                                      <w:marLeft w:val="0"/>
                                      <w:marRight w:val="0"/>
                                      <w:marTop w:val="0"/>
                                      <w:marBottom w:val="0"/>
                                      <w:divBdr>
                                        <w:top w:val="none" w:sz="0" w:space="0" w:color="auto"/>
                                        <w:left w:val="none" w:sz="0" w:space="0" w:color="auto"/>
                                        <w:bottom w:val="none" w:sz="0" w:space="0" w:color="auto"/>
                                        <w:right w:val="none" w:sz="0" w:space="0" w:color="auto"/>
                                      </w:divBdr>
                                      <w:divsChild>
                                        <w:div w:id="1455170745">
                                          <w:marLeft w:val="0"/>
                                          <w:marRight w:val="0"/>
                                          <w:marTop w:val="0"/>
                                          <w:marBottom w:val="0"/>
                                          <w:divBdr>
                                            <w:top w:val="none" w:sz="0" w:space="0" w:color="auto"/>
                                            <w:left w:val="none" w:sz="0" w:space="0" w:color="auto"/>
                                            <w:bottom w:val="none" w:sz="0" w:space="0" w:color="auto"/>
                                            <w:right w:val="none" w:sz="0" w:space="0" w:color="auto"/>
                                          </w:divBdr>
                                          <w:divsChild>
                                            <w:div w:id="1566800807">
                                              <w:marLeft w:val="0"/>
                                              <w:marRight w:val="0"/>
                                              <w:marTop w:val="0"/>
                                              <w:marBottom w:val="0"/>
                                              <w:divBdr>
                                                <w:top w:val="none" w:sz="0" w:space="0" w:color="auto"/>
                                                <w:left w:val="none" w:sz="0" w:space="0" w:color="auto"/>
                                                <w:bottom w:val="none" w:sz="0" w:space="0" w:color="auto"/>
                                                <w:right w:val="none" w:sz="0" w:space="0" w:color="auto"/>
                                              </w:divBdr>
                                              <w:divsChild>
                                                <w:div w:id="1030108086">
                                                  <w:marLeft w:val="0"/>
                                                  <w:marRight w:val="0"/>
                                                  <w:marTop w:val="0"/>
                                                  <w:marBottom w:val="0"/>
                                                  <w:divBdr>
                                                    <w:top w:val="none" w:sz="0" w:space="0" w:color="auto"/>
                                                    <w:left w:val="none" w:sz="0" w:space="0" w:color="auto"/>
                                                    <w:bottom w:val="none" w:sz="0" w:space="0" w:color="auto"/>
                                                    <w:right w:val="none" w:sz="0" w:space="0" w:color="auto"/>
                                                  </w:divBdr>
                                                  <w:divsChild>
                                                    <w:div w:id="744374498">
                                                      <w:marLeft w:val="0"/>
                                                      <w:marRight w:val="0"/>
                                                      <w:marTop w:val="0"/>
                                                      <w:marBottom w:val="0"/>
                                                      <w:divBdr>
                                                        <w:top w:val="none" w:sz="0" w:space="0" w:color="auto"/>
                                                        <w:left w:val="none" w:sz="0" w:space="0" w:color="auto"/>
                                                        <w:bottom w:val="none" w:sz="0" w:space="0" w:color="auto"/>
                                                        <w:right w:val="none" w:sz="0" w:space="0" w:color="auto"/>
                                                      </w:divBdr>
                                                      <w:divsChild>
                                                        <w:div w:id="1143232993">
                                                          <w:marLeft w:val="0"/>
                                                          <w:marRight w:val="0"/>
                                                          <w:marTop w:val="0"/>
                                                          <w:marBottom w:val="0"/>
                                                          <w:divBdr>
                                                            <w:top w:val="none" w:sz="0" w:space="0" w:color="auto"/>
                                                            <w:left w:val="none" w:sz="0" w:space="0" w:color="auto"/>
                                                            <w:bottom w:val="none" w:sz="0" w:space="0" w:color="auto"/>
                                                            <w:right w:val="none" w:sz="0" w:space="0" w:color="auto"/>
                                                          </w:divBdr>
                                                          <w:divsChild>
                                                            <w:div w:id="2030134628">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a-arc.gc.ca/E/pub/tg/t4001/READ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Rouf</dc:creator>
  <cp:keywords/>
  <dc:description/>
  <cp:lastModifiedBy>Rocio Rouf</cp:lastModifiedBy>
  <cp:revision>1</cp:revision>
  <dcterms:created xsi:type="dcterms:W3CDTF">2017-01-17T19:17:00Z</dcterms:created>
  <dcterms:modified xsi:type="dcterms:W3CDTF">2017-01-17T19:24:00Z</dcterms:modified>
</cp:coreProperties>
</file>