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2C8" w:rsidRPr="009B52C8" w:rsidRDefault="009B52C8" w:rsidP="009B52C8">
      <w:pPr>
        <w:spacing w:before="100" w:beforeAutospacing="1" w:after="24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</w:p>
    <w:p w:rsidR="009B52C8" w:rsidRPr="009B52C8" w:rsidRDefault="009B52C8" w:rsidP="009B52C8">
      <w:pPr>
        <w:shd w:val="clear" w:color="auto" w:fill="FFFFFF"/>
        <w:spacing w:before="100" w:beforeAutospacing="1" w:after="100" w:afterAutospacing="1" w:line="240" w:lineRule="auto"/>
        <w:ind w:left="2880" w:right="-270"/>
        <w:rPr>
          <w:rFonts w:ascii="Helvetica Neue" w:eastAsia="Times New Roman" w:hAnsi="Helvetica Neue" w:cs="Arial"/>
          <w:color w:val="111111"/>
          <w:sz w:val="19"/>
          <w:szCs w:val="19"/>
        </w:rPr>
      </w:pPr>
    </w:p>
    <w:p w:rsidR="009B52C8" w:rsidRPr="009B52C8" w:rsidRDefault="009B52C8" w:rsidP="009B52C8">
      <w:pPr>
        <w:shd w:val="clear" w:color="auto" w:fill="FFFFFF"/>
        <w:spacing w:before="240" w:after="240" w:line="240" w:lineRule="auto"/>
        <w:ind w:right="-270"/>
        <w:outlineLvl w:val="2"/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</w:pPr>
      <w:r w:rsidRPr="009B52C8">
        <w:rPr>
          <w:rFonts w:ascii="Helvetica Neue" w:eastAsia="Times New Roman" w:hAnsi="Helvetica Neue" w:cs="Arial"/>
          <w:b/>
          <w:bCs/>
          <w:color w:val="000000"/>
          <w:sz w:val="28"/>
          <w:szCs w:val="28"/>
        </w:rPr>
        <w:t>Required and Suggested Readings</w:t>
      </w:r>
      <w:r w:rsidRPr="009B52C8"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  <w:t xml:space="preserve"> </w:t>
      </w:r>
    </w:p>
    <w:p w:rsidR="009B52C8" w:rsidRPr="009B52C8" w:rsidRDefault="009B52C8" w:rsidP="009B52C8">
      <w:pPr>
        <w:spacing w:before="100" w:beforeAutospacing="1" w:after="240" w:line="240" w:lineRule="auto"/>
        <w:ind w:right="-270"/>
        <w:rPr>
          <w:rFonts w:ascii="Helvetica Neue" w:eastAsia="Times New Roman" w:hAnsi="Helvetica Neue" w:cs="Arial"/>
          <w:color w:val="111111"/>
          <w:sz w:val="28"/>
          <w:szCs w:val="28"/>
        </w:rPr>
      </w:pPr>
      <w:r w:rsidRPr="009B52C8"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  <w:t>Required</w:t>
      </w:r>
    </w:p>
    <w:p w:rsidR="009B52C8" w:rsidRPr="0057606B" w:rsidRDefault="009B52C8" w:rsidP="009B52C8">
      <w:pPr>
        <w:spacing w:before="100" w:beforeAutospacing="1" w:after="240" w:line="240" w:lineRule="auto"/>
        <w:ind w:right="-270"/>
        <w:rPr>
          <w:rFonts w:ascii="Helvetica Neue" w:eastAsia="Times New Roman" w:hAnsi="Helvetica Neue" w:cs="Arial"/>
          <w:b/>
          <w:color w:val="111111"/>
          <w:sz w:val="28"/>
          <w:szCs w:val="28"/>
        </w:rPr>
      </w:pPr>
      <w:r w:rsidRPr="009B52C8"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  <w:t>Text Book Readings</w:t>
      </w:r>
      <w:proofErr w:type="gramStart"/>
      <w:r w:rsidRPr="009B52C8"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  <w:t>:</w:t>
      </w:r>
      <w:proofErr w:type="gramEnd"/>
      <w:r w:rsidRPr="009B52C8">
        <w:rPr>
          <w:rFonts w:ascii="Helvetica Neue" w:eastAsia="Times New Roman" w:hAnsi="Helvetica Neue" w:cs="Arial"/>
          <w:b/>
          <w:bCs/>
          <w:color w:val="111111"/>
          <w:sz w:val="28"/>
          <w:szCs w:val="28"/>
        </w:rPr>
        <w:br/>
      </w:r>
      <w:r w:rsidRPr="009B52C8">
        <w:rPr>
          <w:rFonts w:ascii="Helvetica Neue" w:eastAsia="Times New Roman" w:hAnsi="Helvetica Neue" w:cs="Arial"/>
          <w:color w:val="111111"/>
          <w:sz w:val="28"/>
          <w:szCs w:val="28"/>
        </w:rPr>
        <w:br/>
      </w:r>
      <w:r w:rsidRPr="0057606B">
        <w:rPr>
          <w:rFonts w:ascii="Helvetica Neue" w:eastAsia="Times New Roman" w:hAnsi="Helvetica Neue" w:cs="Arial"/>
          <w:b/>
          <w:color w:val="111111"/>
          <w:sz w:val="28"/>
          <w:szCs w:val="28"/>
        </w:rPr>
        <w:t>Nurse Practitioner's Business Practice And Legal Guide: Chapter 6</w:t>
      </w:r>
      <w:r w:rsidRPr="0057606B">
        <w:rPr>
          <w:rFonts w:ascii="Helvetica Neue" w:eastAsia="Times New Roman" w:hAnsi="Helvetica Neue" w:cs="Arial"/>
          <w:b/>
          <w:color w:val="111111"/>
          <w:sz w:val="28"/>
          <w:szCs w:val="28"/>
        </w:rPr>
        <w:br/>
      </w:r>
      <w:proofErr w:type="spellStart"/>
      <w:r w:rsidRPr="0057606B">
        <w:rPr>
          <w:rFonts w:ascii="Helvetica Neue" w:eastAsia="Times New Roman" w:hAnsi="Helvetica Neue" w:cs="Arial"/>
          <w:b/>
          <w:color w:val="111111"/>
          <w:sz w:val="28"/>
          <w:szCs w:val="28"/>
        </w:rPr>
        <w:t>Hamric</w:t>
      </w:r>
      <w:proofErr w:type="spellEnd"/>
      <w:r w:rsidRPr="0057606B">
        <w:rPr>
          <w:rFonts w:ascii="Helvetica Neue" w:eastAsia="Times New Roman" w:hAnsi="Helvetica Neue" w:cs="Arial"/>
          <w:b/>
          <w:color w:val="111111"/>
          <w:sz w:val="28"/>
          <w:szCs w:val="28"/>
        </w:rPr>
        <w:t xml:space="preserve"> et al: Above readings</w:t>
      </w:r>
    </w:p>
    <w:p w:rsidR="009B52C8" w:rsidRPr="009B52C8" w:rsidRDefault="009B52C8" w:rsidP="009B52C8">
      <w:pPr>
        <w:spacing w:before="100" w:beforeAutospacing="1" w:after="24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9B52C8">
        <w:rPr>
          <w:rFonts w:ascii="Helvetica Neue" w:eastAsia="Times New Roman" w:hAnsi="Helvetica Neue" w:cs="Arial"/>
          <w:b/>
          <w:bCs/>
          <w:color w:val="111111"/>
          <w:sz w:val="24"/>
          <w:szCs w:val="24"/>
        </w:rPr>
        <w:t>Suggested Readings:</w:t>
      </w:r>
    </w:p>
    <w:p w:rsidR="009B52C8" w:rsidRPr="009B52C8" w:rsidRDefault="009B52C8" w:rsidP="009B52C8">
      <w:pPr>
        <w:spacing w:before="100" w:beforeAutospacing="1" w:after="24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Dill, M. J., </w:t>
      </w:r>
      <w:proofErr w:type="spell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Pankow</w:t>
      </w:r>
      <w:proofErr w:type="spell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S., Erikson, C., &amp; Shipman, S. (2013). Survey shows consumers open to </w:t>
      </w:r>
      <w:proofErr w:type="gram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A</w:t>
      </w:r>
      <w:proofErr w:type="gram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greater role for physician assistants and nurse practitioners.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Health Affairs,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FF"/>
        </w:rPr>
        <w:t>32</w:t>
      </w: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(6), 1135-42. </w:t>
      </w:r>
    </w:p>
    <w:p w:rsidR="009B52C8" w:rsidRPr="009B52C8" w:rsidRDefault="009B52C8" w:rsidP="009B52C8">
      <w:pPr>
        <w:spacing w:before="100" w:beforeAutospacing="1" w:after="240" w:line="240" w:lineRule="auto"/>
        <w:ind w:left="2880"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9B52C8">
        <w:rPr>
          <w:rFonts w:ascii="Arial" w:eastAsia="Times New Roman" w:hAnsi="Arial" w:cs="Arial"/>
          <w:color w:val="444444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9B52C8" w:rsidRPr="009B52C8" w:rsidRDefault="009B52C8" w:rsidP="0057606B">
      <w:pPr>
        <w:shd w:val="clear" w:color="auto" w:fill="FFFFFF"/>
        <w:spacing w:after="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proofErr w:type="spell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Stavrianopoulos</w:t>
      </w:r>
      <w:proofErr w:type="spell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 T. (2012). The clinical nurse leader. 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Health Science Journal</w:t>
      </w: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, </w:t>
      </w:r>
      <w:r w:rsidRPr="009B52C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</w:rPr>
        <w:t>6</w:t>
      </w: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(3), 392-401 10p. </w:t>
      </w:r>
    </w:p>
    <w:p w:rsidR="009B52C8" w:rsidRDefault="009B52C8" w:rsidP="009B52C8">
      <w:pP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</w:pP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Garland Baird, L. M., &amp; Miller, T. (2015). Factors influencing evidence-based practice for community nurses. British Journal </w:t>
      </w:r>
      <w:proofErr w:type="gram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Of</w:t>
      </w:r>
      <w:proofErr w:type="gram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Community Nursing, 20(5), 233-242. Doi:10.12968/bjcn.2015.20.5.233.  </w:t>
      </w:r>
    </w:p>
    <w:p w:rsidR="009B52C8" w:rsidRPr="009B52C8" w:rsidRDefault="009B52C8" w:rsidP="009B52C8">
      <w:pPr>
        <w:shd w:val="clear" w:color="auto" w:fill="FFFFFF"/>
        <w:spacing w:after="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</w:p>
    <w:p w:rsidR="00B06393" w:rsidRPr="009B52C8" w:rsidRDefault="009B52C8" w:rsidP="009B52C8">
      <w:pPr>
        <w:shd w:val="clear" w:color="auto" w:fill="FFFFFF"/>
        <w:spacing w:after="0" w:line="240" w:lineRule="auto"/>
        <w:ind w:right="-270"/>
        <w:rPr>
          <w:rFonts w:ascii="Helvetica Neue" w:eastAsia="Times New Roman" w:hAnsi="Helvetica Neue" w:cs="Arial"/>
          <w:color w:val="111111"/>
          <w:sz w:val="24"/>
          <w:szCs w:val="24"/>
        </w:rPr>
      </w:pPr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Young T, </w:t>
      </w:r>
      <w:proofErr w:type="spell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Rohwer</w:t>
      </w:r>
      <w:proofErr w:type="spell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A, Volmink J, Clarke M (2014) What Are the Effects of Teaching Evidence-Based Health Care (EBHC)? Overview of Systematic Reviews.  </w:t>
      </w:r>
      <w:proofErr w:type="spell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PLoS</w:t>
      </w:r>
      <w:proofErr w:type="spell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ONE</w:t>
      </w:r>
      <w:proofErr w:type="gramEnd"/>
      <w:r w:rsidRPr="009B52C8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9(1). doi:10.1371/journal.pone.0086706</w:t>
      </w:r>
      <w:bookmarkStart w:id="0" w:name="_GoBack"/>
      <w:bookmarkEnd w:id="0"/>
    </w:p>
    <w:sectPr w:rsidR="00B06393" w:rsidRPr="009B5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60745"/>
    <w:multiLevelType w:val="multilevel"/>
    <w:tmpl w:val="3992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C8"/>
    <w:rsid w:val="0057606B"/>
    <w:rsid w:val="009B52C8"/>
    <w:rsid w:val="00B0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89CE3-0DB8-4C9A-B72C-88D3A22A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1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16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19777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AAAAA"/>
                                <w:left w:val="single" w:sz="6" w:space="0" w:color="AAAAAA"/>
                                <w:bottom w:val="single" w:sz="6" w:space="0" w:color="AAAAAA"/>
                                <w:right w:val="single" w:sz="6" w:space="0" w:color="AAAAAA"/>
                              </w:divBdr>
                              <w:divsChild>
                                <w:div w:id="124926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09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71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20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7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736</Characters>
  <Application/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