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CC" w:rsidRDefault="00976BCC" w:rsidP="00976BCC">
      <w:pPr>
        <w:spacing w:line="480" w:lineRule="auto"/>
        <w:rPr>
          <w:rFonts w:ascii="Times New Roman" w:hAnsi="Times New Roman" w:cs="Times New Roman"/>
          <w:sz w:val="24"/>
          <w:szCs w:val="24"/>
        </w:rPr>
      </w:pPr>
      <w:r>
        <w:rPr>
          <w:rFonts w:ascii="Times New Roman" w:hAnsi="Times New Roman" w:cs="Times New Roman"/>
          <w:sz w:val="24"/>
          <w:szCs w:val="24"/>
        </w:rPr>
        <w:tab/>
        <w:t>This week’s courseware introduced the concept of financial and operating ratios as performance measurement tools. In this comparative analysis, Team C analyzed both the 2008 –2009 unaudited and audited financial statements for Patton-Fuller Hospital and c</w:t>
      </w:r>
      <w:r w:rsidRPr="0096213A">
        <w:rPr>
          <w:rFonts w:ascii="Times New Roman" w:hAnsi="Times New Roman" w:cs="Times New Roman"/>
          <w:sz w:val="24"/>
          <w:szCs w:val="24"/>
        </w:rPr>
        <w:t>ompute</w:t>
      </w:r>
      <w:r>
        <w:rPr>
          <w:rFonts w:ascii="Times New Roman" w:hAnsi="Times New Roman" w:cs="Times New Roman"/>
          <w:sz w:val="24"/>
          <w:szCs w:val="24"/>
        </w:rPr>
        <w:t>d</w:t>
      </w:r>
      <w:r w:rsidRPr="0096213A">
        <w:rPr>
          <w:rFonts w:ascii="Times New Roman" w:hAnsi="Times New Roman" w:cs="Times New Roman"/>
          <w:sz w:val="24"/>
          <w:szCs w:val="24"/>
        </w:rPr>
        <w:t xml:space="preserve"> the eight ratios—as shown in Chapter 11</w:t>
      </w:r>
      <w:r>
        <w:rPr>
          <w:rFonts w:ascii="Times New Roman" w:hAnsi="Times New Roman" w:cs="Times New Roman"/>
          <w:sz w:val="24"/>
          <w:szCs w:val="24"/>
        </w:rPr>
        <w:t xml:space="preserve">. </w:t>
      </w:r>
      <w:r w:rsidRPr="0096213A">
        <w:rPr>
          <w:rFonts w:ascii="Times New Roman" w:hAnsi="Times New Roman" w:cs="Times New Roman"/>
          <w:sz w:val="24"/>
          <w:szCs w:val="24"/>
        </w:rPr>
        <w:t xml:space="preserve"> </w:t>
      </w:r>
      <w:r>
        <w:rPr>
          <w:rFonts w:ascii="Times New Roman" w:hAnsi="Times New Roman" w:cs="Times New Roman"/>
          <w:sz w:val="24"/>
          <w:szCs w:val="24"/>
        </w:rPr>
        <w:t xml:space="preserve">The eight ratios widely used in health care consist of: four liquidity types, two solvency types, and two profitability types. Each team member was assigned two ratios to compute, analyze the result, provide feedback and recommended plans to present to the hospital Board and the next years and proceeding five years. </w:t>
      </w:r>
    </w:p>
    <w:p w:rsidR="00976BCC" w:rsidRDefault="00976BCC" w:rsidP="00976BCC">
      <w:pPr>
        <w:spacing w:line="480" w:lineRule="auto"/>
        <w:rPr>
          <w:rFonts w:ascii="Times New Roman" w:hAnsi="Times New Roman" w:cs="Times New Roman"/>
          <w:sz w:val="24"/>
          <w:szCs w:val="24"/>
        </w:rPr>
      </w:pPr>
      <w:r>
        <w:rPr>
          <w:rFonts w:ascii="Times New Roman" w:hAnsi="Times New Roman" w:cs="Times New Roman"/>
          <w:sz w:val="24"/>
          <w:szCs w:val="24"/>
        </w:rPr>
        <w:tab/>
        <w:t>Liquidity ratios are the ratios that</w:t>
      </w:r>
      <w:r w:rsidRPr="00460236">
        <w:rPr>
          <w:rFonts w:ascii="Times New Roman" w:hAnsi="Times New Roman" w:cs="Times New Roman"/>
          <w:sz w:val="24"/>
          <w:szCs w:val="24"/>
        </w:rPr>
        <w:t xml:space="preserve"> measure the ability of a </w:t>
      </w:r>
      <w:r>
        <w:rPr>
          <w:rFonts w:ascii="Times New Roman" w:hAnsi="Times New Roman" w:cs="Times New Roman"/>
          <w:sz w:val="24"/>
          <w:szCs w:val="24"/>
        </w:rPr>
        <w:t>healthcare organization or private practice financial ability to “be liquid”: in order words, have assets that can be liquidated. T</w:t>
      </w:r>
      <w:r w:rsidRPr="00460236">
        <w:rPr>
          <w:rFonts w:ascii="Times New Roman" w:hAnsi="Times New Roman" w:cs="Times New Roman"/>
          <w:sz w:val="24"/>
          <w:szCs w:val="24"/>
        </w:rPr>
        <w:t xml:space="preserve">he liquidity ratios are a result of dividing cash and other liquid assets by the short term borrowings and current liabilities. If the value is greater than 1, it means the short term obligations are fully covered. Generally, the higher the liquidity ratios are, the higher the margin of safety that the </w:t>
      </w:r>
      <w:r>
        <w:rPr>
          <w:rFonts w:ascii="Times New Roman" w:hAnsi="Times New Roman" w:cs="Times New Roman"/>
          <w:sz w:val="24"/>
          <w:szCs w:val="24"/>
        </w:rPr>
        <w:t>organization</w:t>
      </w:r>
      <w:r w:rsidRPr="00460236">
        <w:rPr>
          <w:rFonts w:ascii="Times New Roman" w:hAnsi="Times New Roman" w:cs="Times New Roman"/>
          <w:sz w:val="24"/>
          <w:szCs w:val="24"/>
        </w:rPr>
        <w:t xml:space="preserve"> posses</w:t>
      </w:r>
      <w:r>
        <w:rPr>
          <w:rFonts w:ascii="Times New Roman" w:hAnsi="Times New Roman" w:cs="Times New Roman"/>
          <w:sz w:val="24"/>
          <w:szCs w:val="24"/>
        </w:rPr>
        <w:t>s</w:t>
      </w:r>
      <w:r w:rsidRPr="00460236">
        <w:rPr>
          <w:rFonts w:ascii="Times New Roman" w:hAnsi="Times New Roman" w:cs="Times New Roman"/>
          <w:sz w:val="24"/>
          <w:szCs w:val="24"/>
        </w:rPr>
        <w:t xml:space="preserve"> to meet its current liabilities. </w:t>
      </w:r>
    </w:p>
    <w:p w:rsidR="00976BCC" w:rsidRDefault="00976BCC" w:rsidP="00976BCC">
      <w:pPr>
        <w:spacing w:line="480" w:lineRule="auto"/>
        <w:rPr>
          <w:rFonts w:ascii="Times New Roman" w:hAnsi="Times New Roman" w:cs="Times New Roman"/>
          <w:sz w:val="24"/>
          <w:szCs w:val="24"/>
        </w:rPr>
      </w:pPr>
    </w:p>
    <w:p w:rsidR="00976BCC" w:rsidRDefault="00976BCC" w:rsidP="00976BCC">
      <w:pPr>
        <w:spacing w:line="480" w:lineRule="auto"/>
        <w:rPr>
          <w:rFonts w:ascii="Times New Roman" w:hAnsi="Times New Roman" w:cs="Times New Roman"/>
          <w:sz w:val="24"/>
          <w:szCs w:val="24"/>
        </w:rPr>
      </w:pPr>
      <w:r>
        <w:rPr>
          <w:rFonts w:ascii="Times New Roman" w:hAnsi="Times New Roman" w:cs="Times New Roman"/>
          <w:sz w:val="24"/>
          <w:szCs w:val="24"/>
        </w:rPr>
        <w:t>Patton-Fuller Hospital Liquidity Ratios</w:t>
      </w:r>
    </w:p>
    <w:p w:rsidR="00976BCC" w:rsidRPr="0017290F" w:rsidRDefault="00976BCC" w:rsidP="00976BCC">
      <w:pPr>
        <w:rPr>
          <w:rFonts w:ascii="Times New Roman" w:hAnsi="Times New Roman" w:cs="Times New Roman"/>
          <w:sz w:val="24"/>
          <w:szCs w:val="24"/>
        </w:rPr>
      </w:pPr>
    </w:p>
    <w:tbl>
      <w:tblPr>
        <w:tblStyle w:val="LightShading-Accent1"/>
        <w:tblW w:w="5337" w:type="pct"/>
        <w:tblLook w:val="0660" w:firstRow="1" w:lastRow="1" w:firstColumn="0" w:lastColumn="0" w:noHBand="1" w:noVBand="1"/>
      </w:tblPr>
      <w:tblGrid>
        <w:gridCol w:w="2605"/>
        <w:gridCol w:w="1533"/>
        <w:gridCol w:w="1858"/>
        <w:gridCol w:w="1545"/>
        <w:gridCol w:w="2450"/>
      </w:tblGrid>
      <w:tr w:rsidR="00976BCC" w:rsidTr="00A93E0A">
        <w:trPr>
          <w:cnfStyle w:val="100000000000" w:firstRow="1" w:lastRow="0" w:firstColumn="0" w:lastColumn="0" w:oddVBand="0" w:evenVBand="0" w:oddHBand="0" w:evenHBand="0" w:firstRowFirstColumn="0" w:firstRowLastColumn="0" w:lastRowFirstColumn="0" w:lastRowLastColumn="0"/>
        </w:trPr>
        <w:tc>
          <w:tcPr>
            <w:tcW w:w="1304" w:type="pct"/>
            <w:noWrap/>
          </w:tcPr>
          <w:p w:rsidR="00976BCC" w:rsidRDefault="00976BCC" w:rsidP="00A93E0A">
            <w:r>
              <w:t xml:space="preserve">Unaudited Balance Sheets     </w:t>
            </w:r>
          </w:p>
        </w:tc>
        <w:tc>
          <w:tcPr>
            <w:tcW w:w="767" w:type="pct"/>
          </w:tcPr>
          <w:p w:rsidR="00976BCC" w:rsidRDefault="00976BCC" w:rsidP="00A93E0A">
            <w:r>
              <w:t xml:space="preserve">         2009  </w:t>
            </w:r>
          </w:p>
        </w:tc>
        <w:tc>
          <w:tcPr>
            <w:tcW w:w="930" w:type="pct"/>
          </w:tcPr>
          <w:p w:rsidR="00976BCC" w:rsidRDefault="00976BCC" w:rsidP="00A93E0A">
            <w:r>
              <w:t xml:space="preserve">       2008  </w:t>
            </w:r>
          </w:p>
        </w:tc>
        <w:tc>
          <w:tcPr>
            <w:tcW w:w="773" w:type="pct"/>
          </w:tcPr>
          <w:p w:rsidR="00976BCC" w:rsidRDefault="00976BCC" w:rsidP="00A93E0A">
            <w:r>
              <w:t>Change</w:t>
            </w:r>
          </w:p>
        </w:tc>
        <w:tc>
          <w:tcPr>
            <w:tcW w:w="1226" w:type="pct"/>
          </w:tcPr>
          <w:p w:rsidR="00976BCC" w:rsidRDefault="00976BCC" w:rsidP="00A93E0A">
            <w:r>
              <w:t xml:space="preserve">Percent Change </w:t>
            </w:r>
          </w:p>
        </w:tc>
      </w:tr>
      <w:tr w:rsidR="00976BCC" w:rsidTr="00A93E0A">
        <w:tc>
          <w:tcPr>
            <w:tcW w:w="1304" w:type="pct"/>
            <w:noWrap/>
          </w:tcPr>
          <w:p w:rsidR="00976BCC" w:rsidRDefault="00976BCC" w:rsidP="00A93E0A"/>
        </w:tc>
        <w:tc>
          <w:tcPr>
            <w:tcW w:w="767" w:type="pct"/>
          </w:tcPr>
          <w:p w:rsidR="00976BCC" w:rsidRDefault="00976BCC" w:rsidP="00A93E0A">
            <w:pPr>
              <w:rPr>
                <w:rStyle w:val="SubtleEmphasis"/>
              </w:rPr>
            </w:pPr>
          </w:p>
        </w:tc>
        <w:tc>
          <w:tcPr>
            <w:tcW w:w="930" w:type="pct"/>
          </w:tcPr>
          <w:p w:rsidR="00976BCC" w:rsidRDefault="00976BCC" w:rsidP="00A93E0A"/>
        </w:tc>
        <w:tc>
          <w:tcPr>
            <w:tcW w:w="773" w:type="pct"/>
          </w:tcPr>
          <w:p w:rsidR="00976BCC" w:rsidRDefault="00976BCC" w:rsidP="00A93E0A"/>
        </w:tc>
        <w:tc>
          <w:tcPr>
            <w:tcW w:w="1226" w:type="pct"/>
          </w:tcPr>
          <w:p w:rsidR="00976BCC" w:rsidRDefault="00976BCC" w:rsidP="00A93E0A"/>
        </w:tc>
      </w:tr>
      <w:tr w:rsidR="00976BCC" w:rsidTr="00A93E0A">
        <w:tc>
          <w:tcPr>
            <w:tcW w:w="1304" w:type="pct"/>
            <w:noWrap/>
          </w:tcPr>
          <w:p w:rsidR="00976BCC" w:rsidRDefault="00976BCC" w:rsidP="00A93E0A">
            <w:r>
              <w:t>Current Assets</w:t>
            </w:r>
          </w:p>
        </w:tc>
        <w:tc>
          <w:tcPr>
            <w:tcW w:w="767" w:type="pct"/>
          </w:tcPr>
          <w:p w:rsidR="00976BCC" w:rsidRDefault="00976BCC" w:rsidP="00A93E0A">
            <w:pPr>
              <w:pStyle w:val="DecimalAligned"/>
            </w:pPr>
            <w:r>
              <w:t xml:space="preserve">  $ 128,867.00 </w:t>
            </w:r>
          </w:p>
        </w:tc>
        <w:tc>
          <w:tcPr>
            <w:tcW w:w="930" w:type="pct"/>
          </w:tcPr>
          <w:p w:rsidR="00976BCC" w:rsidRDefault="00976BCC" w:rsidP="00A93E0A">
            <w:pPr>
              <w:pStyle w:val="DecimalAligned"/>
            </w:pPr>
            <w:r>
              <w:t>$130,026.00</w:t>
            </w:r>
          </w:p>
        </w:tc>
        <w:tc>
          <w:tcPr>
            <w:tcW w:w="773" w:type="pct"/>
          </w:tcPr>
          <w:p w:rsidR="00976BCC" w:rsidRDefault="00976BCC" w:rsidP="00A93E0A">
            <w:pPr>
              <w:pStyle w:val="DecimalAligned"/>
            </w:pPr>
            <w:r>
              <w:t>(1,159.00)</w:t>
            </w:r>
          </w:p>
        </w:tc>
        <w:tc>
          <w:tcPr>
            <w:tcW w:w="1226" w:type="pct"/>
          </w:tcPr>
          <w:p w:rsidR="00976BCC" w:rsidRDefault="00976BCC" w:rsidP="00A93E0A">
            <w:pPr>
              <w:pStyle w:val="DecimalAligned"/>
            </w:pPr>
            <w:r>
              <w:t xml:space="preserve">  -2%</w:t>
            </w:r>
          </w:p>
        </w:tc>
      </w:tr>
      <w:tr w:rsidR="00976BCC" w:rsidTr="00A93E0A">
        <w:tc>
          <w:tcPr>
            <w:tcW w:w="1304" w:type="pct"/>
            <w:noWrap/>
          </w:tcPr>
          <w:p w:rsidR="00976BCC" w:rsidRDefault="00976BCC" w:rsidP="00A93E0A">
            <w:r>
              <w:t>Current Liabilities</w:t>
            </w:r>
          </w:p>
        </w:tc>
        <w:tc>
          <w:tcPr>
            <w:tcW w:w="767" w:type="pct"/>
          </w:tcPr>
          <w:p w:rsidR="00976BCC" w:rsidRDefault="00976BCC" w:rsidP="00A93E0A">
            <w:pPr>
              <w:pStyle w:val="DecimalAligned"/>
            </w:pPr>
            <w:r>
              <w:t xml:space="preserve">  $ 23,807.00</w:t>
            </w:r>
          </w:p>
        </w:tc>
        <w:tc>
          <w:tcPr>
            <w:tcW w:w="930" w:type="pct"/>
          </w:tcPr>
          <w:p w:rsidR="00976BCC" w:rsidRDefault="00976BCC" w:rsidP="00A93E0A">
            <w:pPr>
              <w:pStyle w:val="DecimalAligned"/>
            </w:pPr>
            <w:r>
              <w:t>$    8,380.00</w:t>
            </w:r>
          </w:p>
        </w:tc>
        <w:tc>
          <w:tcPr>
            <w:tcW w:w="773" w:type="pct"/>
          </w:tcPr>
          <w:p w:rsidR="00976BCC" w:rsidRDefault="00976BCC" w:rsidP="00A93E0A">
            <w:pPr>
              <w:pStyle w:val="DecimalAligned"/>
            </w:pPr>
            <w:r>
              <w:t>$15,427.00</w:t>
            </w:r>
          </w:p>
        </w:tc>
        <w:tc>
          <w:tcPr>
            <w:tcW w:w="1226" w:type="pct"/>
          </w:tcPr>
          <w:p w:rsidR="00976BCC" w:rsidRDefault="00976BCC" w:rsidP="00A93E0A">
            <w:pPr>
              <w:pStyle w:val="DecimalAligned"/>
            </w:pPr>
            <w:r>
              <w:t xml:space="preserve">  184% increase</w:t>
            </w:r>
          </w:p>
        </w:tc>
      </w:tr>
      <w:tr w:rsidR="00976BCC" w:rsidTr="00A93E0A">
        <w:tc>
          <w:tcPr>
            <w:tcW w:w="1304" w:type="pct"/>
            <w:noWrap/>
          </w:tcPr>
          <w:p w:rsidR="00976BCC" w:rsidRDefault="00976BCC" w:rsidP="00A93E0A"/>
        </w:tc>
        <w:tc>
          <w:tcPr>
            <w:tcW w:w="767" w:type="pct"/>
          </w:tcPr>
          <w:p w:rsidR="00976BCC" w:rsidRDefault="00976BCC" w:rsidP="00A93E0A">
            <w:pPr>
              <w:rPr>
                <w:rStyle w:val="SubtleEmphasis"/>
              </w:rPr>
            </w:pPr>
          </w:p>
        </w:tc>
        <w:tc>
          <w:tcPr>
            <w:tcW w:w="930" w:type="pct"/>
          </w:tcPr>
          <w:p w:rsidR="00976BCC" w:rsidRDefault="00976BCC" w:rsidP="00A93E0A"/>
        </w:tc>
        <w:tc>
          <w:tcPr>
            <w:tcW w:w="773" w:type="pct"/>
          </w:tcPr>
          <w:p w:rsidR="00976BCC" w:rsidRDefault="00976BCC" w:rsidP="00A93E0A"/>
        </w:tc>
        <w:tc>
          <w:tcPr>
            <w:tcW w:w="1226" w:type="pct"/>
          </w:tcPr>
          <w:p w:rsidR="00976BCC" w:rsidRDefault="00976BCC" w:rsidP="00A93E0A"/>
        </w:tc>
      </w:tr>
      <w:tr w:rsidR="00976BCC" w:rsidTr="00A93E0A">
        <w:trPr>
          <w:cnfStyle w:val="010000000000" w:firstRow="0" w:lastRow="1" w:firstColumn="0" w:lastColumn="0" w:oddVBand="0" w:evenVBand="0" w:oddHBand="0" w:evenHBand="0" w:firstRowFirstColumn="0" w:firstRowLastColumn="0" w:lastRowFirstColumn="0" w:lastRowLastColumn="0"/>
        </w:trPr>
        <w:tc>
          <w:tcPr>
            <w:tcW w:w="1304" w:type="pct"/>
            <w:noWrap/>
          </w:tcPr>
          <w:p w:rsidR="00976BCC" w:rsidRDefault="00976BCC" w:rsidP="00A93E0A">
            <w:r>
              <w:t xml:space="preserve">Current Ratio </w:t>
            </w:r>
          </w:p>
          <w:p w:rsidR="00976BCC" w:rsidRDefault="00976BCC" w:rsidP="00A93E0A"/>
          <w:p w:rsidR="00976BCC" w:rsidRDefault="00976BCC" w:rsidP="00A93E0A">
            <w:r>
              <w:t>Quick Ratio</w:t>
            </w:r>
          </w:p>
        </w:tc>
        <w:tc>
          <w:tcPr>
            <w:tcW w:w="767" w:type="pct"/>
          </w:tcPr>
          <w:p w:rsidR="00976BCC" w:rsidRDefault="00976BCC" w:rsidP="00A93E0A">
            <w:pPr>
              <w:pStyle w:val="DecimalAligned"/>
            </w:pPr>
            <w:r>
              <w:t xml:space="preserve">     5.41:1</w:t>
            </w:r>
          </w:p>
          <w:p w:rsidR="00976BCC" w:rsidRDefault="00976BCC" w:rsidP="00A93E0A">
            <w:pPr>
              <w:pStyle w:val="DecimalAligned"/>
            </w:pPr>
            <w:r>
              <w:t>3.48</w:t>
            </w:r>
          </w:p>
        </w:tc>
        <w:tc>
          <w:tcPr>
            <w:tcW w:w="930" w:type="pct"/>
          </w:tcPr>
          <w:p w:rsidR="00976BCC" w:rsidRDefault="00976BCC" w:rsidP="00A93E0A">
            <w:pPr>
              <w:pStyle w:val="DecimalAligned"/>
            </w:pPr>
            <w:r>
              <w:t xml:space="preserve">      15.52:1</w:t>
            </w:r>
          </w:p>
          <w:p w:rsidR="00976BCC" w:rsidRDefault="00976BCC" w:rsidP="00A93E0A">
            <w:pPr>
              <w:pStyle w:val="DecimalAligned"/>
            </w:pPr>
            <w:r>
              <w:t xml:space="preserve">      9.49</w:t>
            </w:r>
          </w:p>
        </w:tc>
        <w:tc>
          <w:tcPr>
            <w:tcW w:w="773" w:type="pct"/>
          </w:tcPr>
          <w:p w:rsidR="00976BCC" w:rsidRDefault="00976BCC" w:rsidP="00A93E0A">
            <w:pPr>
              <w:pStyle w:val="DecimalAligned"/>
            </w:pPr>
          </w:p>
        </w:tc>
        <w:tc>
          <w:tcPr>
            <w:tcW w:w="1226" w:type="pct"/>
          </w:tcPr>
          <w:p w:rsidR="00976BCC" w:rsidRDefault="00976BCC" w:rsidP="00A93E0A">
            <w:pPr>
              <w:pStyle w:val="DecimalAligned"/>
            </w:pPr>
          </w:p>
        </w:tc>
      </w:tr>
    </w:tbl>
    <w:p w:rsidR="00976BCC" w:rsidRDefault="00976BCC" w:rsidP="00976BCC">
      <w:pPr>
        <w:rPr>
          <w:rFonts w:ascii="Times New Roman" w:hAnsi="Times New Roman" w:cs="Times New Roman"/>
          <w:sz w:val="24"/>
          <w:szCs w:val="24"/>
        </w:rPr>
      </w:pPr>
    </w:p>
    <w:p w:rsidR="00976BCC" w:rsidRDefault="00976BCC" w:rsidP="00976BCC"/>
    <w:tbl>
      <w:tblPr>
        <w:tblStyle w:val="LightShading-Accent1"/>
        <w:tblW w:w="5240" w:type="pct"/>
        <w:tblLook w:val="0660" w:firstRow="1" w:lastRow="1" w:firstColumn="0" w:lastColumn="0" w:noHBand="1" w:noVBand="1"/>
      </w:tblPr>
      <w:tblGrid>
        <w:gridCol w:w="2610"/>
        <w:gridCol w:w="2338"/>
        <w:gridCol w:w="1532"/>
        <w:gridCol w:w="3329"/>
      </w:tblGrid>
      <w:tr w:rsidR="00976BCC" w:rsidTr="00A93E0A">
        <w:trPr>
          <w:cnfStyle w:val="100000000000" w:firstRow="1" w:lastRow="0" w:firstColumn="0" w:lastColumn="0" w:oddVBand="0" w:evenVBand="0" w:oddHBand="0" w:evenHBand="0" w:firstRowFirstColumn="0" w:firstRowLastColumn="0" w:lastRowFirstColumn="0" w:lastRowLastColumn="0"/>
        </w:trPr>
        <w:tc>
          <w:tcPr>
            <w:tcW w:w="1330" w:type="pct"/>
            <w:noWrap/>
          </w:tcPr>
          <w:p w:rsidR="00976BCC" w:rsidRDefault="00976BCC" w:rsidP="00A93E0A">
            <w:r>
              <w:t xml:space="preserve">Audited Balance Sheets </w:t>
            </w:r>
          </w:p>
        </w:tc>
        <w:tc>
          <w:tcPr>
            <w:tcW w:w="1192" w:type="pct"/>
          </w:tcPr>
          <w:p w:rsidR="00976BCC" w:rsidRDefault="00976BCC" w:rsidP="00A93E0A">
            <w:r>
              <w:t xml:space="preserve">          2009 </w:t>
            </w:r>
          </w:p>
        </w:tc>
        <w:tc>
          <w:tcPr>
            <w:tcW w:w="781" w:type="pct"/>
          </w:tcPr>
          <w:p w:rsidR="00976BCC" w:rsidRDefault="00976BCC" w:rsidP="00A93E0A">
            <w:r>
              <w:t xml:space="preserve">       2008</w:t>
            </w:r>
          </w:p>
        </w:tc>
        <w:tc>
          <w:tcPr>
            <w:tcW w:w="1697" w:type="pct"/>
          </w:tcPr>
          <w:p w:rsidR="00976BCC" w:rsidRDefault="00976BCC" w:rsidP="00A93E0A">
            <w:r>
              <w:t xml:space="preserve">   Change               Percent </w:t>
            </w:r>
          </w:p>
        </w:tc>
      </w:tr>
      <w:tr w:rsidR="00976BCC" w:rsidTr="00A93E0A">
        <w:tc>
          <w:tcPr>
            <w:tcW w:w="1330" w:type="pct"/>
            <w:noWrap/>
          </w:tcPr>
          <w:p w:rsidR="00976BCC" w:rsidRDefault="00976BCC" w:rsidP="00A93E0A">
            <w:r>
              <w:t xml:space="preserve"> </w:t>
            </w:r>
          </w:p>
        </w:tc>
        <w:tc>
          <w:tcPr>
            <w:tcW w:w="1192" w:type="pct"/>
          </w:tcPr>
          <w:p w:rsidR="00976BCC" w:rsidRDefault="00976BCC" w:rsidP="00A93E0A">
            <w:pPr>
              <w:rPr>
                <w:rStyle w:val="SubtleEmphasis"/>
              </w:rPr>
            </w:pPr>
          </w:p>
        </w:tc>
        <w:tc>
          <w:tcPr>
            <w:tcW w:w="781" w:type="pct"/>
          </w:tcPr>
          <w:p w:rsidR="00976BCC" w:rsidRDefault="00976BCC" w:rsidP="00A93E0A"/>
        </w:tc>
        <w:tc>
          <w:tcPr>
            <w:tcW w:w="1697" w:type="pct"/>
          </w:tcPr>
          <w:p w:rsidR="00976BCC" w:rsidRDefault="00976BCC" w:rsidP="00A93E0A"/>
        </w:tc>
      </w:tr>
      <w:tr w:rsidR="00976BCC" w:rsidTr="00A93E0A">
        <w:tc>
          <w:tcPr>
            <w:tcW w:w="1330" w:type="pct"/>
            <w:noWrap/>
          </w:tcPr>
          <w:p w:rsidR="00976BCC" w:rsidRDefault="00976BCC" w:rsidP="00A93E0A">
            <w:r>
              <w:t>Current Assets</w:t>
            </w:r>
          </w:p>
        </w:tc>
        <w:tc>
          <w:tcPr>
            <w:tcW w:w="1192" w:type="pct"/>
          </w:tcPr>
          <w:p w:rsidR="00976BCC" w:rsidRDefault="00976BCC" w:rsidP="00A93E0A">
            <w:pPr>
              <w:pStyle w:val="DecimalAligned"/>
            </w:pPr>
            <w:r>
              <w:t xml:space="preserve">   $ 127,867.00</w:t>
            </w:r>
          </w:p>
        </w:tc>
        <w:tc>
          <w:tcPr>
            <w:tcW w:w="781" w:type="pct"/>
          </w:tcPr>
          <w:p w:rsidR="00976BCC" w:rsidRDefault="00976BCC" w:rsidP="00A93E0A">
            <w:pPr>
              <w:pStyle w:val="DecimalAligned"/>
            </w:pPr>
            <w:r>
              <w:t>$ 130,026.00</w:t>
            </w:r>
          </w:p>
        </w:tc>
        <w:tc>
          <w:tcPr>
            <w:tcW w:w="1697" w:type="pct"/>
          </w:tcPr>
          <w:p w:rsidR="00976BCC" w:rsidRDefault="00976BCC" w:rsidP="00A93E0A">
            <w:pPr>
              <w:pStyle w:val="DecimalAligned"/>
            </w:pPr>
            <w:r>
              <w:t>(2, 159)          -2 % decrease</w:t>
            </w:r>
          </w:p>
        </w:tc>
      </w:tr>
      <w:tr w:rsidR="00976BCC" w:rsidTr="00A93E0A">
        <w:tc>
          <w:tcPr>
            <w:tcW w:w="1330" w:type="pct"/>
            <w:noWrap/>
          </w:tcPr>
          <w:p w:rsidR="00976BCC" w:rsidRDefault="00976BCC" w:rsidP="00A93E0A">
            <w:r>
              <w:t>Current Liabilities</w:t>
            </w:r>
          </w:p>
        </w:tc>
        <w:tc>
          <w:tcPr>
            <w:tcW w:w="1192" w:type="pct"/>
          </w:tcPr>
          <w:p w:rsidR="00976BCC" w:rsidRDefault="00976BCC" w:rsidP="00A93E0A">
            <w:pPr>
              <w:pStyle w:val="DecimalAligned"/>
            </w:pPr>
            <w:r>
              <w:t xml:space="preserve">   $ 23,807</w:t>
            </w:r>
          </w:p>
        </w:tc>
        <w:tc>
          <w:tcPr>
            <w:tcW w:w="781" w:type="pct"/>
          </w:tcPr>
          <w:p w:rsidR="00976BCC" w:rsidRDefault="00976BCC" w:rsidP="00A93E0A">
            <w:pPr>
              <w:pStyle w:val="DecimalAligned"/>
            </w:pPr>
            <w:r>
              <w:t>$ 8,380.00</w:t>
            </w:r>
          </w:p>
        </w:tc>
        <w:tc>
          <w:tcPr>
            <w:tcW w:w="1697" w:type="pct"/>
          </w:tcPr>
          <w:p w:rsidR="00976BCC" w:rsidRDefault="00976BCC" w:rsidP="00A93E0A">
            <w:pPr>
              <w:pStyle w:val="DecimalAligned"/>
            </w:pPr>
            <w:r>
              <w:t xml:space="preserve">                          184% increase</w:t>
            </w:r>
          </w:p>
        </w:tc>
      </w:tr>
      <w:tr w:rsidR="00976BCC" w:rsidTr="00A93E0A">
        <w:tc>
          <w:tcPr>
            <w:tcW w:w="1330" w:type="pct"/>
            <w:noWrap/>
          </w:tcPr>
          <w:p w:rsidR="00976BCC" w:rsidRDefault="00976BCC" w:rsidP="00A93E0A"/>
        </w:tc>
        <w:tc>
          <w:tcPr>
            <w:tcW w:w="1192" w:type="pct"/>
          </w:tcPr>
          <w:p w:rsidR="00976BCC" w:rsidRDefault="00976BCC" w:rsidP="00A93E0A">
            <w:pPr>
              <w:rPr>
                <w:rStyle w:val="SubtleEmphasis"/>
              </w:rPr>
            </w:pPr>
          </w:p>
        </w:tc>
        <w:tc>
          <w:tcPr>
            <w:tcW w:w="781" w:type="pct"/>
          </w:tcPr>
          <w:p w:rsidR="00976BCC" w:rsidRDefault="00976BCC" w:rsidP="00A93E0A"/>
        </w:tc>
        <w:tc>
          <w:tcPr>
            <w:tcW w:w="1697" w:type="pct"/>
          </w:tcPr>
          <w:p w:rsidR="00976BCC" w:rsidRDefault="00976BCC" w:rsidP="00A93E0A"/>
        </w:tc>
      </w:tr>
      <w:tr w:rsidR="00976BCC" w:rsidTr="00A93E0A">
        <w:trPr>
          <w:cnfStyle w:val="010000000000" w:firstRow="0" w:lastRow="1" w:firstColumn="0" w:lastColumn="0" w:oddVBand="0" w:evenVBand="0" w:oddHBand="0" w:evenHBand="0" w:firstRowFirstColumn="0" w:firstRowLastColumn="0" w:lastRowFirstColumn="0" w:lastRowLastColumn="0"/>
        </w:trPr>
        <w:tc>
          <w:tcPr>
            <w:tcW w:w="1330" w:type="pct"/>
            <w:noWrap/>
          </w:tcPr>
          <w:p w:rsidR="00976BCC" w:rsidRDefault="00976BCC" w:rsidP="00A93E0A">
            <w:r>
              <w:t>Current Ratio</w:t>
            </w:r>
          </w:p>
          <w:p w:rsidR="00976BCC" w:rsidRDefault="00976BCC" w:rsidP="00A93E0A"/>
          <w:p w:rsidR="00976BCC" w:rsidRDefault="00976BCC" w:rsidP="00A93E0A">
            <w:r>
              <w:t xml:space="preserve">Quick Ratio                                                            </w:t>
            </w:r>
          </w:p>
        </w:tc>
        <w:tc>
          <w:tcPr>
            <w:tcW w:w="1192" w:type="pct"/>
          </w:tcPr>
          <w:p w:rsidR="00976BCC" w:rsidRDefault="00976BCC" w:rsidP="00A93E0A">
            <w:pPr>
              <w:pStyle w:val="DecimalAligned"/>
            </w:pPr>
            <w:r>
              <w:t xml:space="preserve">     5.37:1</w:t>
            </w:r>
          </w:p>
          <w:p w:rsidR="00976BCC" w:rsidRDefault="00976BCC" w:rsidP="00A93E0A">
            <w:pPr>
              <w:pStyle w:val="DecimalAligned"/>
            </w:pPr>
            <w:r>
              <w:t xml:space="preserve">     3.44</w:t>
            </w:r>
          </w:p>
        </w:tc>
        <w:tc>
          <w:tcPr>
            <w:tcW w:w="781" w:type="pct"/>
          </w:tcPr>
          <w:p w:rsidR="00976BCC" w:rsidRDefault="00976BCC" w:rsidP="00A93E0A">
            <w:pPr>
              <w:pStyle w:val="DecimalAligned"/>
            </w:pPr>
            <w:r>
              <w:t>15.52:1</w:t>
            </w:r>
          </w:p>
          <w:p w:rsidR="00976BCC" w:rsidRDefault="00976BCC" w:rsidP="00A93E0A">
            <w:pPr>
              <w:pStyle w:val="DecimalAligned"/>
            </w:pPr>
            <w:r>
              <w:t>9.49</w:t>
            </w:r>
          </w:p>
        </w:tc>
        <w:tc>
          <w:tcPr>
            <w:tcW w:w="1697" w:type="pct"/>
          </w:tcPr>
          <w:p w:rsidR="00976BCC" w:rsidRDefault="00976BCC" w:rsidP="00A93E0A">
            <w:pPr>
              <w:pStyle w:val="DecimalAligned"/>
            </w:pPr>
          </w:p>
        </w:tc>
      </w:tr>
    </w:tbl>
    <w:p w:rsidR="00976BCC" w:rsidRDefault="00976BCC" w:rsidP="00976BCC">
      <w:pPr>
        <w:pStyle w:val="FootnoteText"/>
      </w:pPr>
    </w:p>
    <w:p w:rsidR="00976BCC" w:rsidRPr="001C39BB" w:rsidRDefault="00976BCC" w:rsidP="00976BCC">
      <w:pPr>
        <w:spacing w:line="480" w:lineRule="auto"/>
        <w:rPr>
          <w:rFonts w:ascii="Times New Roman" w:hAnsi="Times New Roman" w:cs="Times New Roman"/>
          <w:sz w:val="24"/>
          <w:szCs w:val="24"/>
        </w:rPr>
      </w:pPr>
      <w:r w:rsidRPr="001C39BB">
        <w:rPr>
          <w:rFonts w:ascii="Times New Roman" w:hAnsi="Times New Roman" w:cs="Times New Roman"/>
          <w:sz w:val="24"/>
          <w:szCs w:val="24"/>
        </w:rPr>
        <w:t>Comments</w:t>
      </w:r>
      <w:r>
        <w:rPr>
          <w:rFonts w:ascii="Times New Roman" w:hAnsi="Times New Roman" w:cs="Times New Roman"/>
          <w:sz w:val="24"/>
          <w:szCs w:val="24"/>
        </w:rPr>
        <w:t xml:space="preserve">: </w:t>
      </w:r>
    </w:p>
    <w:p w:rsidR="00976BCC" w:rsidRPr="001C39BB" w:rsidRDefault="00976BCC" w:rsidP="00976BCC">
      <w:pPr>
        <w:spacing w:line="480" w:lineRule="auto"/>
        <w:ind w:firstLine="720"/>
        <w:rPr>
          <w:rFonts w:ascii="Times New Roman" w:hAnsi="Times New Roman" w:cs="Times New Roman"/>
          <w:sz w:val="24"/>
          <w:szCs w:val="24"/>
        </w:rPr>
      </w:pPr>
      <w:r w:rsidRPr="001C39BB">
        <w:rPr>
          <w:rFonts w:ascii="Times New Roman" w:hAnsi="Times New Roman" w:cs="Times New Roman"/>
          <w:sz w:val="24"/>
          <w:szCs w:val="24"/>
        </w:rPr>
        <w:t xml:space="preserve">The net loss of the organization went down in 2009 as compared to 2008 by 98%.  It was due to increase in revenues by 10%.  All expenses were increased between 3 to 5%, except for depreciation and bad debts expense. They have increased by 44% and 11% respectively, in 2009 as compared to 2008. The increase in depreciation expense is due to increase in fixed assets in 2009 as compared to 2008.  The increase in bad debt expense is due to increase in account receivable in 2009 as compared to 2008.  The interest income was also decreased by 123%, and it may be due to more interest expenses in 2009 as compared to 2008.  If it would have been fewer in 2009 as compared to previous year of 2008 then the net loss might have been converted into net income. The decrease in net income has affected the return on assets ratio and return equity ratio in both years; they are around 0%in 2009 and -3% in 2008 for both ratios. </w:t>
      </w:r>
      <w:r>
        <w:rPr>
          <w:rFonts w:ascii="Times New Roman" w:hAnsi="Times New Roman" w:cs="Times New Roman"/>
          <w:sz w:val="24"/>
          <w:szCs w:val="24"/>
        </w:rPr>
        <w:t xml:space="preserve"> The ratio has been shifted from</w:t>
      </w:r>
      <w:r w:rsidRPr="001C39BB">
        <w:rPr>
          <w:rFonts w:ascii="Times New Roman" w:hAnsi="Times New Roman" w:cs="Times New Roman"/>
          <w:sz w:val="24"/>
          <w:szCs w:val="24"/>
        </w:rPr>
        <w:t xml:space="preserve"> negative to almost 0%, due to increase in revenues and net income.</w:t>
      </w:r>
    </w:p>
    <w:p w:rsidR="00976BCC" w:rsidRDefault="00976BCC" w:rsidP="00976BCC">
      <w:pPr>
        <w:spacing w:line="480" w:lineRule="auto"/>
        <w:ind w:firstLine="720"/>
        <w:rPr>
          <w:rFonts w:ascii="Times New Roman" w:hAnsi="Times New Roman" w:cs="Times New Roman"/>
          <w:sz w:val="24"/>
          <w:szCs w:val="24"/>
        </w:rPr>
      </w:pPr>
      <w:r w:rsidRPr="001C39BB">
        <w:rPr>
          <w:rFonts w:ascii="Times New Roman" w:hAnsi="Times New Roman" w:cs="Times New Roman"/>
          <w:sz w:val="24"/>
          <w:szCs w:val="24"/>
        </w:rPr>
        <w:t>The increase in assets in the year 2009 is 7%, which is due to increase in account receivab</w:t>
      </w:r>
      <w:r>
        <w:rPr>
          <w:rFonts w:ascii="Times New Roman" w:hAnsi="Times New Roman" w:cs="Times New Roman"/>
          <w:sz w:val="24"/>
          <w:szCs w:val="24"/>
        </w:rPr>
        <w:t xml:space="preserve">le by 56%, inventories by 100% </w:t>
      </w:r>
      <w:r w:rsidRPr="001C39BB">
        <w:rPr>
          <w:rFonts w:ascii="Times New Roman" w:hAnsi="Times New Roman" w:cs="Times New Roman"/>
          <w:sz w:val="24"/>
          <w:szCs w:val="24"/>
        </w:rPr>
        <w:t xml:space="preserve">and increase in property plant and equipment by 41%.  The hospital might have provided more credit to customer to raise the revenues and also more investment in fixed assets and inventories to enhance the revenues.  It seems that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organizat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ion </w:t>
      </w:r>
      <w:r w:rsidRPr="001C39BB">
        <w:rPr>
          <w:rFonts w:ascii="Times New Roman" w:hAnsi="Times New Roman" w:cs="Times New Roman"/>
          <w:sz w:val="24"/>
          <w:szCs w:val="24"/>
        </w:rPr>
        <w:t xml:space="preserve">is successful but not completely as they could raise the revenues only by 10%.  The increase in fixed assets and current assets have been financed by debt financing, which is evident from increase in account payable and accrued expenses by 120% and net long term debt has increased by 114% as compared to previous year. The decrease in retained earnings by hefty amount of 63% shows that company is relying more on debt financing, therefore the debt to total assets and debt to total assets ratios have been heavily disturbed in 2009 as compared to 2008. In 2008 39% of total assets were financed from debt financing while in 2009, it rose to 79% showing a hefty increase of 102%.  In 2008 the debt to equity ratio has also shown the same pattern rather worse situation than debt to total assets, in 2008 it was 64% but rose to 368%, showing a drastic increase of 478% which is main cause of net interest expense in 2009 which was net interest income 2008. </w:t>
      </w:r>
    </w:p>
    <w:p w:rsidR="00976BCC" w:rsidRDefault="00976BCC" w:rsidP="00976BCC">
      <w:pPr>
        <w:spacing w:line="480" w:lineRule="auto"/>
        <w:ind w:firstLine="720"/>
        <w:rPr>
          <w:rFonts w:ascii="Times New Roman" w:hAnsi="Times New Roman" w:cs="Times New Roman"/>
          <w:sz w:val="24"/>
          <w:szCs w:val="24"/>
        </w:rPr>
      </w:pPr>
      <w:r w:rsidRPr="001C39BB">
        <w:rPr>
          <w:rFonts w:ascii="Times New Roman" w:hAnsi="Times New Roman" w:cs="Times New Roman"/>
          <w:sz w:val="24"/>
          <w:szCs w:val="24"/>
        </w:rPr>
        <w:t xml:space="preserve">The management has to make sure that they fully utilize the resources in forthcoming period to make sure that the revenues are enough to create net income; otherwise they should try to reduce the investment, especially in account receivable and inventories.  For this purpose, they must concentrate on the return on total assets which is the combination of both profit margin and total assets turnover and also pay attention to return equity ratio. For control purpose they can look what are done by other organizations of the same sector.  The debt financing should be reduced and try to finance from equity which will also reduce the interest expense and also the profit margin of the organization. They should try to control debt to total assets ratio and debt to equity ratio. Once again for this purpose they can look into the organizations of the same industry and compare their capital structure with Patton capital structure. </w:t>
      </w:r>
    </w:p>
    <w:p w:rsidR="00976BCC" w:rsidRDefault="00976BCC" w:rsidP="00976BCC">
      <w:pPr>
        <w:spacing w:line="480" w:lineRule="auto"/>
        <w:rPr>
          <w:rFonts w:ascii="Times New Roman" w:hAnsi="Times New Roman" w:cs="Times New Roman"/>
          <w:sz w:val="24"/>
          <w:szCs w:val="24"/>
        </w:rPr>
      </w:pPr>
      <w:r>
        <w:rPr>
          <w:rFonts w:ascii="Times New Roman" w:hAnsi="Times New Roman" w:cs="Times New Roman"/>
          <w:sz w:val="24"/>
          <w:szCs w:val="24"/>
        </w:rPr>
        <w:t>Days Cash on Hand Ratio (DCOH):</w:t>
      </w:r>
    </w:p>
    <w:p w:rsidR="00976BCC" w:rsidRDefault="00976BCC" w:rsidP="00976BC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Based upon the audited financial statements for Patton Fuller Community Hospital, the Days Cash on Hand (DCOH) ratio does show a decrease due to the cash equivalents from 2008 to 2009. In 2008 the ratio was 34.92 and in 2009 the ratio was 18.16, this show’s a difference of 16.76 within a 365 day period. This was found by the auditors during a discrepancy that was identified during an audit in the line item, this discrepancy was 1,000,000.00. This caused the accounts to break even which eventually resulted in the increase of the total expenses. Luckily, Patton Fuller will break even because of the explanation within the next ratio. </w:t>
      </w:r>
    </w:p>
    <w:p w:rsidR="00976BCC" w:rsidRDefault="00976BCC" w:rsidP="00976BCC">
      <w:pPr>
        <w:spacing w:line="480" w:lineRule="auto"/>
        <w:rPr>
          <w:rFonts w:ascii="Times New Roman" w:hAnsi="Times New Roman" w:cs="Times New Roman"/>
          <w:sz w:val="24"/>
          <w:szCs w:val="24"/>
        </w:rPr>
      </w:pPr>
      <w:r>
        <w:rPr>
          <w:rFonts w:ascii="Times New Roman" w:hAnsi="Times New Roman" w:cs="Times New Roman"/>
          <w:sz w:val="24"/>
          <w:szCs w:val="24"/>
        </w:rPr>
        <w:t xml:space="preserve">Days Receivables: </w:t>
      </w:r>
    </w:p>
    <w:p w:rsidR="00976BCC" w:rsidRDefault="00976BCC" w:rsidP="00976B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Days Receivables actually shows an increase in the net receivables from 2008 and 2009. In 2008 the ratio was 32.85 and in 2009 the ratio was 47.45, this shows an increase by 14.65 within a 365 day period; Patton-Fuller had a profitable year between 2008 and 2009. Team C recommends that the hospital board should follow guidelines to ensure that there is the possibility of any future discrepancies. </w:t>
      </w:r>
    </w:p>
    <w:p w:rsidR="00976BCC" w:rsidRDefault="00976BCC" w:rsidP="00976BCC">
      <w:pPr>
        <w:rPr>
          <w:rFonts w:ascii="Times New Roman" w:hAnsi="Times New Roman" w:cs="Times New Roman"/>
          <w:sz w:val="24"/>
          <w:szCs w:val="24"/>
        </w:rPr>
      </w:pPr>
      <w:r>
        <w:rPr>
          <w:rFonts w:ascii="Times New Roman" w:hAnsi="Times New Roman" w:cs="Times New Roman"/>
          <w:sz w:val="24"/>
          <w:szCs w:val="24"/>
        </w:rPr>
        <w:t>Debt service coverage ratio (DSCR)</w:t>
      </w:r>
    </w:p>
    <w:p w:rsidR="00976BCC" w:rsidRDefault="00976BCC" w:rsidP="00976BC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2009 the DSCR decreased to 2.76% from 10.58% in 2008, which indicates that the organization is in a better position to repay outstanding debts, and have the ability to generate enough income within its operations to cover expenses on debt in the future.  With the operating income being positive, the comparison between 2009 and 2008 indicates the possibility of a considerable change in the organizations net income and interest expenses.</w:t>
      </w:r>
    </w:p>
    <w:p w:rsidR="00976BCC" w:rsidRDefault="00976BCC" w:rsidP="00976BCC">
      <w:pPr>
        <w:spacing w:line="480" w:lineRule="auto"/>
        <w:rPr>
          <w:rFonts w:ascii="Times New Roman" w:hAnsi="Times New Roman" w:cs="Times New Roman"/>
          <w:sz w:val="24"/>
          <w:szCs w:val="24"/>
        </w:rPr>
      </w:pPr>
      <w:r>
        <w:rPr>
          <w:rFonts w:ascii="Times New Roman" w:hAnsi="Times New Roman" w:cs="Times New Roman"/>
          <w:sz w:val="24"/>
          <w:szCs w:val="24"/>
        </w:rPr>
        <w:t>Liabilities to fund balance:</w:t>
      </w:r>
    </w:p>
    <w:p w:rsidR="00976BCC" w:rsidRDefault="00976BCC" w:rsidP="00976BC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liability to fund ratio raised in 2009 to 3.65% from 0.64% in 2008, which indicated that the organization have gained some financial strength, and have a considerable amount of cash flow </w:t>
      </w:r>
      <w:r>
        <w:rPr>
          <w:rFonts w:ascii="Times New Roman" w:hAnsi="Times New Roman" w:cs="Times New Roman"/>
          <w:sz w:val="24"/>
          <w:szCs w:val="24"/>
        </w:rPr>
        <w:lastRenderedPageBreak/>
        <w:t>and profitable operating margin which puts the organization in a better position to establish additional credit.</w:t>
      </w:r>
    </w:p>
    <w:p w:rsidR="00976BCC" w:rsidRPr="00BF1A3A" w:rsidRDefault="00976BCC" w:rsidP="00976BCC">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Pr="00BF1A3A">
        <w:rPr>
          <w:rFonts w:ascii="Times New Roman" w:hAnsi="Times New Roman" w:cs="Times New Roman"/>
          <w:color w:val="000000"/>
          <w:sz w:val="24"/>
          <w:szCs w:val="24"/>
          <w:shd w:val="clear" w:color="auto" w:fill="FFFFFF"/>
        </w:rPr>
        <w:t>The operating margin is the measurement of what proportion of the Patton-Fuller Community Hospital</w:t>
      </w:r>
      <w:r w:rsidRPr="00BF1A3A">
        <w:rPr>
          <w:rFonts w:ascii="Times New Roman" w:hAnsi="Times New Roman" w:cs="Times New Roman"/>
          <w:sz w:val="24"/>
          <w:szCs w:val="24"/>
        </w:rPr>
        <w:t xml:space="preserve"> revenue </w:t>
      </w:r>
      <w:r w:rsidRPr="00BF1A3A">
        <w:rPr>
          <w:rFonts w:ascii="Times New Roman" w:hAnsi="Times New Roman" w:cs="Times New Roman"/>
          <w:color w:val="000000"/>
          <w:sz w:val="24"/>
          <w:szCs w:val="24"/>
          <w:shd w:val="clear" w:color="auto" w:fill="FFFFFF"/>
        </w:rPr>
        <w:t>is left over after paying for operating costs</w:t>
      </w:r>
      <w:r w:rsidRPr="00BF1A3A">
        <w:rPr>
          <w:rStyle w:val="apple-converted-space"/>
          <w:rFonts w:ascii="Times New Roman" w:hAnsi="Times New Roman" w:cs="Times New Roman"/>
          <w:color w:val="000000"/>
          <w:sz w:val="24"/>
          <w:szCs w:val="24"/>
          <w:shd w:val="clear" w:color="auto" w:fill="FFFFFF"/>
        </w:rPr>
        <w:t> </w:t>
      </w:r>
      <w:r w:rsidRPr="00BF1A3A">
        <w:rPr>
          <w:rFonts w:ascii="Times New Roman" w:hAnsi="Times New Roman" w:cs="Times New Roman"/>
          <w:color w:val="000000"/>
          <w:sz w:val="24"/>
          <w:szCs w:val="24"/>
          <w:shd w:val="clear" w:color="auto" w:fill="FFFFFF"/>
        </w:rPr>
        <w:t>such as wages and raw materials. It can be calculated by dividing the</w:t>
      </w:r>
      <w:r w:rsidRPr="00BF1A3A">
        <w:rPr>
          <w:rFonts w:ascii="Times New Roman" w:hAnsi="Times New Roman" w:cs="Times New Roman"/>
          <w:sz w:val="24"/>
          <w:szCs w:val="24"/>
        </w:rPr>
        <w:t xml:space="preserve"> operating income</w:t>
      </w:r>
      <w:r w:rsidRPr="00BF1A3A">
        <w:rPr>
          <w:rFonts w:ascii="Times New Roman" w:hAnsi="Times New Roman" w:cs="Times New Roman"/>
          <w:color w:val="000000"/>
          <w:sz w:val="24"/>
          <w:szCs w:val="24"/>
          <w:shd w:val="clear" w:color="auto" w:fill="FFFFFF"/>
        </w:rPr>
        <w:t> or operating profit, during the 2008 and 2009 time period by its</w:t>
      </w:r>
      <w:r w:rsidRPr="00BF1A3A">
        <w:rPr>
          <w:rStyle w:val="apple-converted-space"/>
          <w:rFonts w:ascii="Times New Roman" w:hAnsi="Times New Roman" w:cs="Times New Roman"/>
          <w:color w:val="000000"/>
          <w:sz w:val="24"/>
          <w:szCs w:val="24"/>
          <w:shd w:val="clear" w:color="auto" w:fill="FFFFFF"/>
        </w:rPr>
        <w:t> </w:t>
      </w:r>
      <w:r w:rsidRPr="00BF1A3A">
        <w:rPr>
          <w:rFonts w:ascii="Times New Roman" w:hAnsi="Times New Roman" w:cs="Times New Roman"/>
          <w:sz w:val="24"/>
          <w:szCs w:val="24"/>
        </w:rPr>
        <w:t>total operating revenue</w:t>
      </w:r>
      <w:r w:rsidRPr="00BF1A3A">
        <w:rPr>
          <w:rFonts w:ascii="Times New Roman" w:hAnsi="Times New Roman" w:cs="Times New Roman"/>
          <w:color w:val="000000"/>
          <w:sz w:val="24"/>
          <w:szCs w:val="24"/>
          <w:shd w:val="clear" w:color="auto" w:fill="FFFFFF"/>
        </w:rPr>
        <w:t xml:space="preserve"> during the same time period. Operating income refers to the</w:t>
      </w:r>
      <w:r w:rsidRPr="00BF1A3A">
        <w:rPr>
          <w:rFonts w:ascii="Times New Roman" w:hAnsi="Times New Roman" w:cs="Times New Roman"/>
          <w:sz w:val="24"/>
          <w:szCs w:val="24"/>
        </w:rPr>
        <w:t xml:space="preserve"> profit</w:t>
      </w:r>
      <w:r w:rsidRPr="00BF1A3A">
        <w:rPr>
          <w:rStyle w:val="apple-converted-space"/>
          <w:rFonts w:ascii="Times New Roman" w:hAnsi="Times New Roman" w:cs="Times New Roman"/>
          <w:color w:val="000000"/>
          <w:sz w:val="24"/>
          <w:szCs w:val="24"/>
          <w:shd w:val="clear" w:color="auto" w:fill="FFFFFF"/>
        </w:rPr>
        <w:t> </w:t>
      </w:r>
      <w:r w:rsidRPr="00BF1A3A">
        <w:rPr>
          <w:rFonts w:ascii="Times New Roman" w:hAnsi="Times New Roman" w:cs="Times New Roman"/>
          <w:color w:val="000000"/>
          <w:sz w:val="24"/>
          <w:szCs w:val="24"/>
          <w:shd w:val="clear" w:color="auto" w:fill="FFFFFF"/>
        </w:rPr>
        <w:t>that the Patton-Fuller Community Hospital will have after subtracting</w:t>
      </w:r>
      <w:r w:rsidRPr="00BF1A3A">
        <w:rPr>
          <w:rStyle w:val="apple-converted-space"/>
          <w:rFonts w:ascii="Times New Roman" w:hAnsi="Times New Roman" w:cs="Times New Roman"/>
          <w:color w:val="000000"/>
          <w:sz w:val="24"/>
          <w:szCs w:val="24"/>
          <w:shd w:val="clear" w:color="auto" w:fill="FFFFFF"/>
        </w:rPr>
        <w:t> </w:t>
      </w:r>
      <w:r w:rsidRPr="00BF1A3A">
        <w:rPr>
          <w:rFonts w:ascii="Times New Roman" w:hAnsi="Times New Roman" w:cs="Times New Roman"/>
          <w:sz w:val="24"/>
          <w:szCs w:val="24"/>
        </w:rPr>
        <w:t>operating expenses</w:t>
      </w:r>
      <w:r w:rsidRPr="00BF1A3A">
        <w:rPr>
          <w:rStyle w:val="apple-converted-space"/>
          <w:rFonts w:ascii="Times New Roman" w:hAnsi="Times New Roman" w:cs="Times New Roman"/>
          <w:color w:val="000000"/>
          <w:sz w:val="24"/>
          <w:szCs w:val="24"/>
          <w:shd w:val="clear" w:color="auto" w:fill="FFFFFF"/>
        </w:rPr>
        <w:t> </w:t>
      </w:r>
      <w:r w:rsidRPr="00BF1A3A">
        <w:rPr>
          <w:rFonts w:ascii="Times New Roman" w:hAnsi="Times New Roman" w:cs="Times New Roman"/>
          <w:color w:val="000000"/>
          <w:sz w:val="24"/>
          <w:szCs w:val="24"/>
          <w:shd w:val="clear" w:color="auto" w:fill="FFFFFF"/>
        </w:rPr>
        <w:t xml:space="preserve">like wages. Total operating revenue refers to the total amount received for services provided or charged for. </w:t>
      </w:r>
    </w:p>
    <w:p w:rsidR="00976BCC" w:rsidRPr="003D3243" w:rsidRDefault="00976BCC" w:rsidP="00976BCC">
      <w:pPr>
        <w:spacing w:line="480" w:lineRule="auto"/>
        <w:ind w:firstLine="720"/>
        <w:rPr>
          <w:rFonts w:ascii="Times New Roman" w:hAnsi="Times New Roman" w:cs="Times New Roman"/>
          <w:sz w:val="24"/>
          <w:szCs w:val="24"/>
        </w:rPr>
      </w:pPr>
      <w:r w:rsidRPr="00BF1A3A">
        <w:rPr>
          <w:rFonts w:ascii="Times New Roman" w:hAnsi="Times New Roman" w:cs="Times New Roman"/>
          <w:color w:val="333333"/>
          <w:sz w:val="24"/>
          <w:szCs w:val="24"/>
        </w:rPr>
        <w:t>The return on total assets is represented as earn</w:t>
      </w:r>
      <w:r>
        <w:rPr>
          <w:rFonts w:ascii="Times New Roman" w:hAnsi="Times New Roman" w:cs="Times New Roman"/>
          <w:color w:val="333333"/>
          <w:sz w:val="24"/>
          <w:szCs w:val="24"/>
        </w:rPr>
        <w:t>ings before interest and taxes or EBIT</w:t>
      </w:r>
      <w:r w:rsidRPr="00BF1A3A">
        <w:rPr>
          <w:rFonts w:ascii="Times New Roman" w:hAnsi="Times New Roman" w:cs="Times New Roman"/>
          <w:color w:val="333333"/>
          <w:sz w:val="24"/>
          <w:szCs w:val="24"/>
        </w:rPr>
        <w:t xml:space="preserve"> divided by</w:t>
      </w:r>
      <w:r>
        <w:rPr>
          <w:rFonts w:ascii="Times New Roman" w:hAnsi="Times New Roman" w:cs="Times New Roman"/>
          <w:color w:val="333333"/>
          <w:sz w:val="24"/>
          <w:szCs w:val="24"/>
        </w:rPr>
        <w:t xml:space="preserve"> the</w:t>
      </w:r>
      <w:r w:rsidRPr="00BF1A3A">
        <w:rPr>
          <w:rFonts w:ascii="Times New Roman" w:hAnsi="Times New Roman" w:cs="Times New Roman"/>
          <w:color w:val="333333"/>
          <w:sz w:val="24"/>
          <w:szCs w:val="24"/>
        </w:rPr>
        <w:t xml:space="preserve"> total assets</w:t>
      </w:r>
      <w:r>
        <w:rPr>
          <w:rFonts w:ascii="Times New Roman" w:hAnsi="Times New Roman" w:cs="Times New Roman"/>
          <w:color w:val="333333"/>
          <w:sz w:val="24"/>
          <w:szCs w:val="24"/>
        </w:rPr>
        <w:t xml:space="preserve">. </w:t>
      </w:r>
      <w:r w:rsidRPr="003D3243">
        <w:rPr>
          <w:rFonts w:ascii="Times New Roman" w:hAnsi="Times New Roman" w:cs="Times New Roman"/>
          <w:sz w:val="24"/>
          <w:szCs w:val="24"/>
          <w:shd w:val="clear" w:color="auto" w:fill="FFFFFF"/>
        </w:rPr>
        <w:t xml:space="preserve">Return on total assets or ROTA is expressed as a ratio that measures </w:t>
      </w:r>
      <w:r>
        <w:rPr>
          <w:rFonts w:ascii="Times New Roman" w:hAnsi="Times New Roman" w:cs="Times New Roman"/>
          <w:sz w:val="24"/>
          <w:szCs w:val="24"/>
          <w:shd w:val="clear" w:color="auto" w:fill="FFFFFF"/>
        </w:rPr>
        <w:t xml:space="preserve">the </w:t>
      </w:r>
      <w:r w:rsidRPr="003D3243">
        <w:rPr>
          <w:rFonts w:ascii="Times New Roman" w:hAnsi="Times New Roman" w:cs="Times New Roman"/>
          <w:color w:val="000000"/>
          <w:sz w:val="24"/>
          <w:szCs w:val="24"/>
          <w:shd w:val="clear" w:color="auto" w:fill="FFFFFF"/>
        </w:rPr>
        <w:t>Patton-Fuller Community Hospital</w:t>
      </w:r>
      <w:r w:rsidRPr="003D3243">
        <w:rPr>
          <w:rFonts w:ascii="Times New Roman" w:hAnsi="Times New Roman" w:cs="Times New Roman"/>
          <w:sz w:val="24"/>
          <w:szCs w:val="24"/>
        </w:rPr>
        <w:t xml:space="preserve"> </w:t>
      </w:r>
      <w:r>
        <w:rPr>
          <w:rFonts w:ascii="Times New Roman" w:hAnsi="Times New Roman" w:cs="Times New Roman"/>
          <w:sz w:val="24"/>
          <w:szCs w:val="24"/>
        </w:rPr>
        <w:t xml:space="preserve">earnings </w:t>
      </w:r>
      <w:r>
        <w:rPr>
          <w:rFonts w:ascii="Times New Roman" w:hAnsi="Times New Roman" w:cs="Times New Roman"/>
          <w:sz w:val="24"/>
          <w:szCs w:val="24"/>
          <w:shd w:val="clear" w:color="auto" w:fill="FFFFFF"/>
        </w:rPr>
        <w:t>before interest and taxes or EBIT</w:t>
      </w:r>
      <w:r w:rsidRPr="003D3243">
        <w:rPr>
          <w:rFonts w:ascii="Times New Roman" w:hAnsi="Times New Roman" w:cs="Times New Roman"/>
          <w:sz w:val="24"/>
          <w:szCs w:val="24"/>
          <w:shd w:val="clear" w:color="auto" w:fill="FFFFFF"/>
        </w:rPr>
        <w:t xml:space="preserve"> against its total net assets. The ratio is considered an indica</w:t>
      </w:r>
      <w:r>
        <w:rPr>
          <w:rFonts w:ascii="Times New Roman" w:hAnsi="Times New Roman" w:cs="Times New Roman"/>
          <w:sz w:val="24"/>
          <w:szCs w:val="24"/>
          <w:shd w:val="clear" w:color="auto" w:fill="FFFFFF"/>
        </w:rPr>
        <w:t>tor of how effectively the hospital</w:t>
      </w:r>
      <w:r w:rsidRPr="003D3243">
        <w:rPr>
          <w:rFonts w:ascii="Times New Roman" w:hAnsi="Times New Roman" w:cs="Times New Roman"/>
          <w:sz w:val="24"/>
          <w:szCs w:val="24"/>
          <w:shd w:val="clear" w:color="auto" w:fill="FFFFFF"/>
        </w:rPr>
        <w:t xml:space="preserve"> is using its</w:t>
      </w:r>
      <w:r w:rsidRPr="003D3243">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sz w:val="24"/>
          <w:szCs w:val="24"/>
        </w:rPr>
        <w:t xml:space="preserve">assets </w:t>
      </w:r>
      <w:r w:rsidRPr="003D3243">
        <w:rPr>
          <w:rFonts w:ascii="Times New Roman" w:hAnsi="Times New Roman" w:cs="Times New Roman"/>
          <w:sz w:val="24"/>
          <w:szCs w:val="24"/>
          <w:shd w:val="clear" w:color="auto" w:fill="FFFFFF"/>
        </w:rPr>
        <w:t>to generate</w:t>
      </w:r>
      <w:r>
        <w:rPr>
          <w:rFonts w:ascii="Times New Roman" w:hAnsi="Times New Roman" w:cs="Times New Roman"/>
          <w:sz w:val="24"/>
          <w:szCs w:val="24"/>
          <w:shd w:val="clear" w:color="auto" w:fill="FFFFFF"/>
        </w:rPr>
        <w:t xml:space="preserve"> earnings before financial obligations must be settled or paid.</w:t>
      </w:r>
    </w:p>
    <w:p w:rsidR="00976BCC" w:rsidRDefault="00976BCC" w:rsidP="00976BCC">
      <w:pPr>
        <w:spacing w:line="480" w:lineRule="auto"/>
        <w:rPr>
          <w:rFonts w:ascii="Times New Roman" w:hAnsi="Times New Roman" w:cs="Times New Roman"/>
          <w:sz w:val="24"/>
          <w:szCs w:val="24"/>
        </w:rPr>
      </w:pPr>
    </w:p>
    <w:p w:rsidR="00451DF9" w:rsidRDefault="00451DF9">
      <w:bookmarkStart w:id="0" w:name="_GoBack"/>
      <w:bookmarkEnd w:id="0"/>
    </w:p>
    <w:sectPr w:rsidR="00451D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CC"/>
    <w:rsid w:val="00451DF9"/>
    <w:rsid w:val="0097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24D19-9C6C-4786-92A3-9FA17A02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76BCC"/>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76BCC"/>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76BCC"/>
    <w:rPr>
      <w:rFonts w:eastAsiaTheme="minorEastAsia" w:cs="Times New Roman"/>
      <w:sz w:val="20"/>
      <w:szCs w:val="20"/>
    </w:rPr>
  </w:style>
  <w:style w:type="character" w:styleId="SubtleEmphasis">
    <w:name w:val="Subtle Emphasis"/>
    <w:basedOn w:val="DefaultParagraphFont"/>
    <w:uiPriority w:val="19"/>
    <w:qFormat/>
    <w:rsid w:val="00976BCC"/>
    <w:rPr>
      <w:i/>
      <w:iCs/>
    </w:rPr>
  </w:style>
  <w:style w:type="table" w:styleId="LightShading-Accent1">
    <w:name w:val="Light Shading Accent 1"/>
    <w:basedOn w:val="TableNormal"/>
    <w:uiPriority w:val="60"/>
    <w:rsid w:val="00976BCC"/>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apple-converted-space">
    <w:name w:val="apple-converted-space"/>
    <w:basedOn w:val="DefaultParagraphFont"/>
    <w:rsid w:val="0097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Espinosa</dc:creator>
  <cp:keywords/>
  <dc:description/>
  <cp:lastModifiedBy>Kathleen Espinosa</cp:lastModifiedBy>
  <cp:revision>1</cp:revision>
  <dcterms:created xsi:type="dcterms:W3CDTF">2016-05-30T21:12:00Z</dcterms:created>
  <dcterms:modified xsi:type="dcterms:W3CDTF">2016-05-30T21:12:00Z</dcterms:modified>
</cp:coreProperties>
</file>