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C3C" w:rsidRPr="003D25B5" w:rsidRDefault="00D55E3A" w:rsidP="00214CDC">
      <w:pPr>
        <w:pStyle w:val="Heading1"/>
        <w:rPr>
          <w:sz w:val="24"/>
          <w:szCs w:val="24"/>
        </w:rPr>
      </w:pPr>
      <w:bookmarkStart w:id="0" w:name="_GoBack"/>
      <w:bookmarkEnd w:id="0"/>
      <w:r w:rsidRPr="003D25B5">
        <w:rPr>
          <w:sz w:val="24"/>
          <w:szCs w:val="24"/>
        </w:rPr>
        <w:t>Healthcare Financial Management and Economics</w:t>
      </w:r>
    </w:p>
    <w:p w:rsidR="00214CDC" w:rsidRPr="007C3CB9" w:rsidRDefault="00214CDC" w:rsidP="00214CDC">
      <w:pPr>
        <w:rPr>
          <w:lang w:bidi="ar-SA"/>
        </w:rPr>
      </w:pPr>
    </w:p>
    <w:p w:rsidR="00D55E3A" w:rsidRPr="003D25B5" w:rsidRDefault="00D55E3A" w:rsidP="00214CDC">
      <w:pPr>
        <w:pStyle w:val="Heading1"/>
        <w:rPr>
          <w:sz w:val="24"/>
          <w:szCs w:val="24"/>
        </w:rPr>
      </w:pPr>
      <w:r w:rsidRPr="003D25B5">
        <w:rPr>
          <w:sz w:val="24"/>
          <w:szCs w:val="24"/>
        </w:rPr>
        <w:t xml:space="preserve">Week </w:t>
      </w:r>
      <w:r w:rsidR="00005507" w:rsidRPr="003D25B5">
        <w:rPr>
          <w:sz w:val="24"/>
          <w:szCs w:val="24"/>
        </w:rPr>
        <w:t>8</w:t>
      </w:r>
      <w:r w:rsidRPr="003D25B5">
        <w:rPr>
          <w:sz w:val="24"/>
          <w:szCs w:val="24"/>
        </w:rPr>
        <w:t xml:space="preserve"> Assignment</w:t>
      </w:r>
      <w:r w:rsidR="00761EAC" w:rsidRPr="003D25B5">
        <w:rPr>
          <w:sz w:val="24"/>
          <w:szCs w:val="24"/>
        </w:rPr>
        <w:t xml:space="preserve"> </w:t>
      </w:r>
      <w:r w:rsidR="00214CDC" w:rsidRPr="003D25B5">
        <w:rPr>
          <w:sz w:val="24"/>
          <w:szCs w:val="24"/>
        </w:rPr>
        <w:t>1</w:t>
      </w:r>
      <w:r w:rsidR="00EF3D63">
        <w:rPr>
          <w:sz w:val="24"/>
          <w:szCs w:val="24"/>
        </w:rPr>
        <w:t xml:space="preserve"> </w:t>
      </w:r>
      <w:r w:rsidR="00214CDC" w:rsidRPr="003D25B5">
        <w:rPr>
          <w:sz w:val="24"/>
          <w:szCs w:val="24"/>
        </w:rPr>
        <w:t>—</w:t>
      </w:r>
      <w:r w:rsidR="00EF3D63">
        <w:rPr>
          <w:sz w:val="24"/>
          <w:szCs w:val="24"/>
        </w:rPr>
        <w:t xml:space="preserve"> </w:t>
      </w:r>
      <w:r w:rsidR="00640281" w:rsidRPr="003D25B5">
        <w:rPr>
          <w:sz w:val="24"/>
          <w:szCs w:val="24"/>
        </w:rPr>
        <w:t>Louisville Community Hospital</w:t>
      </w:r>
    </w:p>
    <w:p w:rsidR="00D55E3A" w:rsidRPr="007C3CB9" w:rsidRDefault="00D55E3A" w:rsidP="00D55E3A">
      <w:pPr>
        <w:jc w:val="center"/>
      </w:pPr>
    </w:p>
    <w:p w:rsidR="00214CDC" w:rsidRPr="000452AE" w:rsidRDefault="00214CDC" w:rsidP="00D55E3A">
      <w:pPr>
        <w:jc w:val="center"/>
      </w:pPr>
    </w:p>
    <w:p w:rsidR="00D55E3A" w:rsidRPr="003D25B5" w:rsidRDefault="00D55E3A" w:rsidP="00D55E3A">
      <w:pPr>
        <w:rPr>
          <w:rFonts w:cs="Arial"/>
          <w:b/>
        </w:rPr>
      </w:pPr>
      <w:r w:rsidRPr="003D25B5">
        <w:rPr>
          <w:rFonts w:cs="Arial"/>
          <w:b/>
        </w:rPr>
        <w:t>Assignment</w:t>
      </w:r>
      <w:r w:rsidR="00005507" w:rsidRPr="003D25B5">
        <w:rPr>
          <w:rFonts w:cs="Arial"/>
          <w:b/>
        </w:rPr>
        <w:t xml:space="preserve"> </w:t>
      </w:r>
      <w:r w:rsidR="00B252AA" w:rsidRPr="003D25B5">
        <w:rPr>
          <w:rFonts w:cs="Arial"/>
          <w:b/>
        </w:rPr>
        <w:t>1</w:t>
      </w:r>
      <w:r w:rsidR="00640281" w:rsidRPr="003D25B5">
        <w:rPr>
          <w:rFonts w:cs="Arial"/>
          <w:b/>
        </w:rPr>
        <w:t>: Ratio</w:t>
      </w:r>
      <w:r w:rsidR="00B252AA" w:rsidRPr="003D25B5">
        <w:rPr>
          <w:rFonts w:cs="Arial"/>
          <w:b/>
        </w:rPr>
        <w:t xml:space="preserve"> Analysis</w:t>
      </w:r>
    </w:p>
    <w:p w:rsidR="00005507" w:rsidRDefault="00005507" w:rsidP="00D55E3A">
      <w:pPr>
        <w:rPr>
          <w:rFonts w:cs="Arial"/>
          <w:b/>
          <w:sz w:val="28"/>
          <w:szCs w:val="28"/>
        </w:rPr>
      </w:pPr>
    </w:p>
    <w:p w:rsidR="00792792" w:rsidRDefault="00792792" w:rsidP="00792792">
      <w:pPr>
        <w:rPr>
          <w:rFonts w:cs="Arial"/>
        </w:rPr>
      </w:pPr>
      <w:r>
        <w:rPr>
          <w:rFonts w:cs="Arial"/>
        </w:rPr>
        <w:t>It is important to understand that when interpreting financial statements, the numbers alone may not provide the whole financial picture of an organization. Instead, you must analyze the statements using ratios</w:t>
      </w:r>
      <w:r w:rsidR="007C3CB9">
        <w:rPr>
          <w:rFonts w:cs="Arial"/>
        </w:rPr>
        <w:t>,</w:t>
      </w:r>
      <w:r>
        <w:rPr>
          <w:rFonts w:cs="Arial"/>
        </w:rPr>
        <w:t xml:space="preserve"> which are then compared to benchmarks across the healthcare industry. For this Assignment, </w:t>
      </w:r>
      <w:r w:rsidR="00CA2006">
        <w:rPr>
          <w:rFonts w:cs="Arial"/>
        </w:rPr>
        <w:t xml:space="preserve">you </w:t>
      </w:r>
      <w:r>
        <w:rPr>
          <w:rFonts w:cs="Arial"/>
        </w:rPr>
        <w:t xml:space="preserve">examine the </w:t>
      </w:r>
      <w:r w:rsidR="00CA2006">
        <w:rPr>
          <w:rFonts w:cs="Arial"/>
        </w:rPr>
        <w:t xml:space="preserve">financial documents for Louisville Community Hospital </w:t>
      </w:r>
      <w:r>
        <w:rPr>
          <w:rFonts w:cs="Arial"/>
        </w:rPr>
        <w:t xml:space="preserve">and analyze the organization’s financial health. </w:t>
      </w:r>
    </w:p>
    <w:p w:rsidR="00B252AA" w:rsidRDefault="00B252AA" w:rsidP="00761EAC">
      <w:pPr>
        <w:rPr>
          <w:rFonts w:cs="Arial"/>
          <w:b/>
        </w:rPr>
      </w:pPr>
    </w:p>
    <w:p w:rsidR="00640281" w:rsidRDefault="00792792" w:rsidP="00761EAC">
      <w:pPr>
        <w:rPr>
          <w:rFonts w:cs="Arial"/>
          <w:b/>
        </w:rPr>
      </w:pPr>
      <w:r w:rsidRPr="00B252AA">
        <w:rPr>
          <w:rFonts w:cs="Arial"/>
          <w:b/>
        </w:rPr>
        <w:t xml:space="preserve">Louisville Community Hospital </w:t>
      </w:r>
    </w:p>
    <w:p w:rsidR="00B252AA" w:rsidRDefault="00B252AA" w:rsidP="00761EAC">
      <w:pPr>
        <w:rPr>
          <w:rFonts w:cs="Arial"/>
          <w:b/>
        </w:rPr>
      </w:pPr>
    </w:p>
    <w:p w:rsidR="00B252AA" w:rsidRDefault="00B252AA" w:rsidP="00761EAC">
      <w:pPr>
        <w:rPr>
          <w:rFonts w:cs="Arial"/>
        </w:rPr>
      </w:pPr>
      <w:r w:rsidRPr="00B252AA">
        <w:rPr>
          <w:rFonts w:cs="Arial"/>
        </w:rPr>
        <w:t>Louisville Community Hospital is a small community hospital serving a rural population.</w:t>
      </w:r>
      <w:r w:rsidR="00AE5B4B">
        <w:rPr>
          <w:rFonts w:cs="Arial"/>
        </w:rPr>
        <w:t xml:space="preserve"> The adjusted discharges are 3.30 for the 1</w:t>
      </w:r>
      <w:r w:rsidR="00AE5B4B" w:rsidRPr="00AE5B4B">
        <w:rPr>
          <w:rFonts w:cs="Arial"/>
          <w:vertAlign w:val="superscript"/>
        </w:rPr>
        <w:t>st</w:t>
      </w:r>
      <w:r w:rsidR="00AE5B4B">
        <w:rPr>
          <w:rFonts w:cs="Arial"/>
        </w:rPr>
        <w:t xml:space="preserve"> year and 3.10 for the 2</w:t>
      </w:r>
      <w:r w:rsidR="00AE5B4B" w:rsidRPr="00AE5B4B">
        <w:rPr>
          <w:rFonts w:cs="Arial"/>
          <w:vertAlign w:val="superscript"/>
        </w:rPr>
        <w:t>nd</w:t>
      </w:r>
      <w:r w:rsidR="00AE5B4B">
        <w:rPr>
          <w:rFonts w:cs="Arial"/>
        </w:rPr>
        <w:t>.</w:t>
      </w:r>
    </w:p>
    <w:p w:rsidR="00B252AA" w:rsidRDefault="00B252AA" w:rsidP="00761EAC">
      <w:pPr>
        <w:rPr>
          <w:rFonts w:cs="Arial"/>
        </w:rPr>
      </w:pPr>
    </w:p>
    <w:tbl>
      <w:tblPr>
        <w:tblW w:w="9129" w:type="dxa"/>
        <w:tblInd w:w="9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95"/>
        <w:gridCol w:w="1084"/>
        <w:gridCol w:w="961"/>
        <w:gridCol w:w="2389"/>
      </w:tblGrid>
      <w:tr w:rsidR="00CE68D7" w:rsidRPr="00214CDC" w:rsidTr="003C0E42">
        <w:trPr>
          <w:trHeight w:val="225"/>
        </w:trPr>
        <w:tc>
          <w:tcPr>
            <w:tcW w:w="9129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CE68D7" w:rsidRPr="00214CDC" w:rsidRDefault="00CE68D7" w:rsidP="00CE68D7">
            <w:pPr>
              <w:rPr>
                <w:rFonts w:cs="Arial"/>
                <w:b/>
              </w:rPr>
            </w:pPr>
            <w:r w:rsidRPr="00214CDC">
              <w:rPr>
                <w:rFonts w:cs="Arial"/>
                <w:b/>
              </w:rPr>
              <w:t>Louisville Community Hospital</w:t>
            </w:r>
          </w:p>
        </w:tc>
      </w:tr>
      <w:tr w:rsidR="00CE68D7" w:rsidRPr="00214CDC" w:rsidTr="003C0E42">
        <w:trPr>
          <w:trHeight w:val="225"/>
        </w:trPr>
        <w:tc>
          <w:tcPr>
            <w:tcW w:w="9129" w:type="dxa"/>
            <w:gridSpan w:val="4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15425" w:rsidRPr="00214CDC" w:rsidRDefault="00CE68D7" w:rsidP="00CE68D7">
            <w:pPr>
              <w:rPr>
                <w:rFonts w:cs="Arial"/>
                <w:b/>
              </w:rPr>
            </w:pPr>
            <w:r w:rsidRPr="00214CDC">
              <w:rPr>
                <w:rFonts w:cs="Arial"/>
                <w:b/>
              </w:rPr>
              <w:t xml:space="preserve">Statement of Operations (in thousands) for the </w:t>
            </w:r>
          </w:p>
          <w:p w:rsidR="00CE68D7" w:rsidRPr="00214CDC" w:rsidRDefault="00CE68D7" w:rsidP="00CE68D7">
            <w:pPr>
              <w:rPr>
                <w:rFonts w:cs="Arial"/>
                <w:b/>
              </w:rPr>
            </w:pPr>
            <w:r w:rsidRPr="00214CDC">
              <w:rPr>
                <w:rFonts w:cs="Arial"/>
                <w:b/>
              </w:rPr>
              <w:t xml:space="preserve">Years </w:t>
            </w:r>
            <w:r w:rsidR="00015425" w:rsidRPr="00214CDC">
              <w:rPr>
                <w:rFonts w:cs="Arial"/>
                <w:b/>
              </w:rPr>
              <w:t>Ended December 31, 2016 and 2017</w:t>
            </w:r>
          </w:p>
        </w:tc>
      </w:tr>
      <w:tr w:rsidR="00CE68D7" w:rsidRPr="00214CDC" w:rsidTr="003C0E42">
        <w:trPr>
          <w:trHeight w:val="225"/>
        </w:trPr>
        <w:tc>
          <w:tcPr>
            <w:tcW w:w="46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8D7" w:rsidRPr="00214CDC" w:rsidRDefault="00CE68D7" w:rsidP="00CE68D7">
            <w:pPr>
              <w:rPr>
                <w:rFonts w:cs="Arial"/>
                <w:b/>
              </w:rPr>
            </w:pPr>
          </w:p>
        </w:tc>
        <w:tc>
          <w:tcPr>
            <w:tcW w:w="10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8D7" w:rsidRPr="00214CDC" w:rsidRDefault="00CE68D7" w:rsidP="00CE68D7">
            <w:pPr>
              <w:rPr>
                <w:rFonts w:cs="Arial"/>
                <w:b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8D7" w:rsidRPr="00214CDC" w:rsidRDefault="00CE68D7" w:rsidP="00CE68D7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68D7" w:rsidRPr="00214CDC" w:rsidRDefault="00CE68D7" w:rsidP="00CE68D7">
            <w:pPr>
              <w:rPr>
                <w:rFonts w:cs="Arial"/>
                <w:b/>
              </w:rPr>
            </w:pPr>
          </w:p>
        </w:tc>
      </w:tr>
      <w:tr w:rsidR="00CE68D7" w:rsidRPr="00214CDC" w:rsidTr="003C0E42">
        <w:trPr>
          <w:trHeight w:val="225"/>
        </w:trPr>
        <w:tc>
          <w:tcPr>
            <w:tcW w:w="4695" w:type="dxa"/>
            <w:shd w:val="clear" w:color="auto" w:fill="auto"/>
            <w:noWrap/>
            <w:vAlign w:val="center"/>
            <w:hideMark/>
          </w:tcPr>
          <w:p w:rsidR="00CE68D7" w:rsidRPr="00214CDC" w:rsidRDefault="00CE68D7" w:rsidP="00CE68D7">
            <w:pPr>
              <w:rPr>
                <w:rFonts w:cs="Arial"/>
                <w:b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E68D7" w:rsidRPr="00214CDC" w:rsidRDefault="00CE68D7" w:rsidP="00CE68D7">
            <w:pPr>
              <w:rPr>
                <w:rFonts w:cs="Arial"/>
                <w:b/>
              </w:rPr>
            </w:pPr>
            <w:r w:rsidRPr="00214CDC">
              <w:rPr>
                <w:rFonts w:cs="Arial"/>
                <w:b/>
              </w:rPr>
              <w:t xml:space="preserve"> 2016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CE68D7" w:rsidRPr="00214CDC" w:rsidRDefault="00CE68D7" w:rsidP="00CE68D7">
            <w:pPr>
              <w:rPr>
                <w:rFonts w:cs="Arial"/>
                <w:b/>
              </w:rPr>
            </w:pP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015425" w:rsidRPr="00214CDC" w:rsidRDefault="00015425" w:rsidP="00CE68D7">
            <w:pPr>
              <w:ind w:left="2173"/>
              <w:rPr>
                <w:rFonts w:cs="Arial"/>
                <w:b/>
              </w:rPr>
            </w:pPr>
          </w:p>
          <w:p w:rsidR="00CE68D7" w:rsidRPr="00214CDC" w:rsidRDefault="00CE68D7" w:rsidP="00015425">
            <w:pPr>
              <w:ind w:left="1557"/>
              <w:rPr>
                <w:rFonts w:cs="Arial"/>
                <w:b/>
              </w:rPr>
            </w:pPr>
            <w:r w:rsidRPr="00214CDC">
              <w:rPr>
                <w:rFonts w:cs="Arial"/>
                <w:b/>
              </w:rPr>
              <w:t>2017</w:t>
            </w:r>
          </w:p>
        </w:tc>
      </w:tr>
      <w:tr w:rsidR="00CE68D7" w:rsidRPr="00CE68D7" w:rsidTr="003C0E42">
        <w:trPr>
          <w:trHeight w:val="225"/>
        </w:trPr>
        <w:tc>
          <w:tcPr>
            <w:tcW w:w="4695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>Revenues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ind w:left="2013" w:right="-2209"/>
              <w:rPr>
                <w:rFonts w:cs="Arial"/>
              </w:rPr>
            </w:pP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</w:tr>
      <w:tr w:rsidR="00CE68D7" w:rsidRPr="00CE68D7" w:rsidTr="003C0E42">
        <w:trPr>
          <w:trHeight w:val="225"/>
        </w:trPr>
        <w:tc>
          <w:tcPr>
            <w:tcW w:w="4695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 xml:space="preserve">   Net patient service revenue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$23,000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CE68D7" w:rsidRPr="00CE68D7" w:rsidRDefault="00015425" w:rsidP="00015425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CE68D7" w:rsidRPr="00CE68D7">
              <w:rPr>
                <w:rFonts w:cs="Arial"/>
              </w:rPr>
              <w:t xml:space="preserve">$19,000 </w:t>
            </w:r>
          </w:p>
        </w:tc>
      </w:tr>
      <w:tr w:rsidR="00CE68D7" w:rsidRPr="00CE68D7" w:rsidTr="003C0E42">
        <w:trPr>
          <w:trHeight w:val="225"/>
        </w:trPr>
        <w:tc>
          <w:tcPr>
            <w:tcW w:w="4695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015425">
            <w:pPr>
              <w:ind w:right="-1613"/>
              <w:rPr>
                <w:rFonts w:cs="Arial"/>
              </w:rPr>
            </w:pPr>
            <w:r w:rsidRPr="00CE68D7">
              <w:rPr>
                <w:rFonts w:cs="Arial"/>
              </w:rPr>
              <w:t xml:space="preserve">   Net assets released from restriction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1,000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800 </w:t>
            </w:r>
          </w:p>
        </w:tc>
      </w:tr>
      <w:tr w:rsidR="00CE68D7" w:rsidRPr="00CE68D7" w:rsidTr="003C0E42">
        <w:trPr>
          <w:trHeight w:val="225"/>
        </w:trPr>
        <w:tc>
          <w:tcPr>
            <w:tcW w:w="4695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>Total operating revenues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24,000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19,800 </w:t>
            </w:r>
          </w:p>
        </w:tc>
      </w:tr>
      <w:tr w:rsidR="00CE68D7" w:rsidRPr="00CE68D7" w:rsidTr="003C0E42">
        <w:trPr>
          <w:trHeight w:val="225"/>
        </w:trPr>
        <w:tc>
          <w:tcPr>
            <w:tcW w:w="4695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</w:tr>
      <w:tr w:rsidR="00CE68D7" w:rsidRPr="00CE68D7" w:rsidTr="003C0E42">
        <w:trPr>
          <w:trHeight w:val="225"/>
        </w:trPr>
        <w:tc>
          <w:tcPr>
            <w:tcW w:w="4695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>Expenses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</w:tr>
      <w:tr w:rsidR="00CE68D7" w:rsidRPr="00CE68D7" w:rsidTr="003C0E42">
        <w:trPr>
          <w:trHeight w:val="225"/>
        </w:trPr>
        <w:tc>
          <w:tcPr>
            <w:tcW w:w="4695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 xml:space="preserve">   Salaries and benefits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13,000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9,000 </w:t>
            </w:r>
          </w:p>
        </w:tc>
      </w:tr>
      <w:tr w:rsidR="00CE68D7" w:rsidRPr="00CE68D7" w:rsidTr="003C0E42">
        <w:trPr>
          <w:trHeight w:val="225"/>
        </w:trPr>
        <w:tc>
          <w:tcPr>
            <w:tcW w:w="4695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 xml:space="preserve">   Supplies and other expenses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7,000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6,000 </w:t>
            </w:r>
          </w:p>
        </w:tc>
      </w:tr>
      <w:tr w:rsidR="00CE68D7" w:rsidRPr="00CE68D7" w:rsidTr="003C0E42">
        <w:trPr>
          <w:trHeight w:val="225"/>
        </w:trPr>
        <w:tc>
          <w:tcPr>
            <w:tcW w:w="4695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 xml:space="preserve">   Depreciation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2,500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2,000 </w:t>
            </w:r>
          </w:p>
        </w:tc>
      </w:tr>
      <w:tr w:rsidR="00CE68D7" w:rsidRPr="00CE68D7" w:rsidTr="003C0E42">
        <w:trPr>
          <w:trHeight w:val="225"/>
        </w:trPr>
        <w:tc>
          <w:tcPr>
            <w:tcW w:w="4695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 xml:space="preserve">   General services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200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100 </w:t>
            </w:r>
          </w:p>
        </w:tc>
      </w:tr>
      <w:tr w:rsidR="00CE68D7" w:rsidRPr="00CE68D7" w:rsidTr="003C0E42">
        <w:trPr>
          <w:trHeight w:val="225"/>
        </w:trPr>
        <w:tc>
          <w:tcPr>
            <w:tcW w:w="4695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 xml:space="preserve">Total operating expenses 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22,700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17,100 </w:t>
            </w:r>
          </w:p>
        </w:tc>
      </w:tr>
      <w:tr w:rsidR="00CE68D7" w:rsidRPr="00CE68D7" w:rsidTr="003C0E42">
        <w:trPr>
          <w:trHeight w:val="225"/>
        </w:trPr>
        <w:tc>
          <w:tcPr>
            <w:tcW w:w="4695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</w:tr>
      <w:tr w:rsidR="00CE68D7" w:rsidRPr="00CE68D7" w:rsidTr="003C0E42">
        <w:trPr>
          <w:trHeight w:val="225"/>
        </w:trPr>
        <w:tc>
          <w:tcPr>
            <w:tcW w:w="4695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>Operating income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1,300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2,700 </w:t>
            </w:r>
          </w:p>
        </w:tc>
      </w:tr>
      <w:tr w:rsidR="00CE68D7" w:rsidRPr="00CE68D7" w:rsidTr="003C0E42">
        <w:trPr>
          <w:trHeight w:val="225"/>
        </w:trPr>
        <w:tc>
          <w:tcPr>
            <w:tcW w:w="4695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 xml:space="preserve">Non-operating income 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4,000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2,500 </w:t>
            </w:r>
          </w:p>
        </w:tc>
      </w:tr>
      <w:tr w:rsidR="00CE68D7" w:rsidRPr="00CE68D7" w:rsidTr="003C0E42">
        <w:trPr>
          <w:trHeight w:val="225"/>
        </w:trPr>
        <w:tc>
          <w:tcPr>
            <w:tcW w:w="4695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</w:tr>
      <w:tr w:rsidR="00CE68D7" w:rsidRPr="00CE68D7" w:rsidTr="003C0E42">
        <w:trPr>
          <w:trHeight w:val="225"/>
        </w:trPr>
        <w:tc>
          <w:tcPr>
            <w:tcW w:w="4695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>Excess of revenues over expenses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5,300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5,200 </w:t>
            </w:r>
          </w:p>
        </w:tc>
      </w:tr>
      <w:tr w:rsidR="00CE68D7" w:rsidRPr="00CE68D7" w:rsidTr="003C0E42">
        <w:trPr>
          <w:trHeight w:val="225"/>
        </w:trPr>
        <w:tc>
          <w:tcPr>
            <w:tcW w:w="4695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</w:tr>
      <w:tr w:rsidR="00CE68D7" w:rsidRPr="00CE68D7" w:rsidTr="003C0E42">
        <w:trPr>
          <w:trHeight w:val="225"/>
        </w:trPr>
        <w:tc>
          <w:tcPr>
            <w:tcW w:w="4695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>Increase (decrease) in net assets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$5,300 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2389" w:type="dxa"/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$5,200 </w:t>
            </w:r>
          </w:p>
        </w:tc>
      </w:tr>
    </w:tbl>
    <w:p w:rsidR="00640281" w:rsidRDefault="00640281" w:rsidP="00761EAC">
      <w:pPr>
        <w:rPr>
          <w:rFonts w:cs="Arial"/>
        </w:rPr>
      </w:pPr>
    </w:p>
    <w:p w:rsidR="00D55E3A" w:rsidRDefault="00D55E3A" w:rsidP="00D55E3A">
      <w:pPr>
        <w:pStyle w:val="Header"/>
        <w:rPr>
          <w:rFonts w:cs="Arial"/>
          <w:color w:val="FF0000"/>
        </w:rPr>
      </w:pPr>
    </w:p>
    <w:p w:rsidR="00015425" w:rsidRDefault="00015425" w:rsidP="00D55E3A">
      <w:pPr>
        <w:pStyle w:val="Header"/>
        <w:rPr>
          <w:rFonts w:cs="Arial"/>
          <w:color w:val="FF0000"/>
        </w:rPr>
      </w:pPr>
    </w:p>
    <w:p w:rsidR="00015425" w:rsidRDefault="00015425" w:rsidP="00D55E3A">
      <w:pPr>
        <w:pStyle w:val="Header"/>
        <w:rPr>
          <w:rFonts w:cs="Arial"/>
          <w:color w:val="FF0000"/>
        </w:rPr>
      </w:pPr>
    </w:p>
    <w:p w:rsidR="00015425" w:rsidRDefault="00015425" w:rsidP="00D55E3A">
      <w:pPr>
        <w:pStyle w:val="Header"/>
        <w:rPr>
          <w:rFonts w:cs="Arial"/>
          <w:color w:val="FF0000"/>
        </w:rPr>
      </w:pPr>
    </w:p>
    <w:p w:rsidR="00015425" w:rsidRDefault="00015425" w:rsidP="00D55E3A">
      <w:pPr>
        <w:pStyle w:val="Header"/>
        <w:rPr>
          <w:rFonts w:cs="Arial"/>
          <w:color w:val="FF0000"/>
        </w:rPr>
      </w:pPr>
    </w:p>
    <w:tbl>
      <w:tblPr>
        <w:tblW w:w="91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00"/>
        <w:gridCol w:w="3125"/>
        <w:gridCol w:w="1205"/>
        <w:gridCol w:w="1675"/>
      </w:tblGrid>
      <w:tr w:rsidR="00015425" w:rsidRPr="00214CDC" w:rsidTr="00015425">
        <w:trPr>
          <w:trHeight w:val="225"/>
        </w:trPr>
        <w:tc>
          <w:tcPr>
            <w:tcW w:w="91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425" w:rsidRPr="00214CDC" w:rsidRDefault="00015425" w:rsidP="00CE68D7">
            <w:pPr>
              <w:rPr>
                <w:rFonts w:cs="Arial"/>
                <w:b/>
              </w:rPr>
            </w:pPr>
            <w:r w:rsidRPr="00214CDC">
              <w:rPr>
                <w:rFonts w:cs="Arial"/>
                <w:b/>
              </w:rPr>
              <w:t>Louisville Community Hospital</w:t>
            </w:r>
          </w:p>
        </w:tc>
      </w:tr>
      <w:tr w:rsidR="00015425" w:rsidRPr="00214CDC" w:rsidTr="00B76B84">
        <w:trPr>
          <w:trHeight w:val="225"/>
        </w:trPr>
        <w:tc>
          <w:tcPr>
            <w:tcW w:w="6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425" w:rsidRPr="00214CDC" w:rsidRDefault="00015425" w:rsidP="00015425">
            <w:pPr>
              <w:rPr>
                <w:rFonts w:cs="Arial"/>
                <w:b/>
              </w:rPr>
            </w:pPr>
            <w:r w:rsidRPr="00214CDC">
              <w:rPr>
                <w:rFonts w:cs="Arial"/>
                <w:b/>
              </w:rPr>
              <w:t xml:space="preserve">Balance Sheet (in thousands)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425" w:rsidRPr="00214CDC" w:rsidRDefault="00015425" w:rsidP="00CE68D7">
            <w:pPr>
              <w:rPr>
                <w:rFonts w:cs="Arial"/>
                <w:b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425" w:rsidRPr="00214CDC" w:rsidRDefault="00015425" w:rsidP="00CE68D7">
            <w:pPr>
              <w:rPr>
                <w:rFonts w:cs="Arial"/>
                <w:b/>
              </w:rPr>
            </w:pPr>
          </w:p>
        </w:tc>
      </w:tr>
      <w:tr w:rsidR="00CE68D7" w:rsidRPr="00214CDC" w:rsidTr="00015425">
        <w:trPr>
          <w:trHeight w:val="225"/>
        </w:trPr>
        <w:tc>
          <w:tcPr>
            <w:tcW w:w="62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214CDC" w:rsidRDefault="00CE68D7" w:rsidP="00015425">
            <w:pPr>
              <w:rPr>
                <w:rFonts w:cs="Arial"/>
                <w:b/>
              </w:rPr>
            </w:pPr>
            <w:r w:rsidRPr="00214CDC">
              <w:rPr>
                <w:rFonts w:cs="Arial"/>
                <w:b/>
              </w:rPr>
              <w:t>for the Years Ended December 31, 20</w:t>
            </w:r>
            <w:r w:rsidR="00015425" w:rsidRPr="00214CDC">
              <w:rPr>
                <w:rFonts w:cs="Arial"/>
                <w:b/>
              </w:rPr>
              <w:t>16</w:t>
            </w:r>
            <w:r w:rsidRPr="00214CDC">
              <w:rPr>
                <w:rFonts w:cs="Arial"/>
                <w:b/>
              </w:rPr>
              <w:t xml:space="preserve"> and 20</w:t>
            </w:r>
            <w:r w:rsidR="00015425" w:rsidRPr="00214CDC">
              <w:rPr>
                <w:rFonts w:cs="Arial"/>
                <w:b/>
              </w:rPr>
              <w:t>17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214CDC" w:rsidRDefault="00CE68D7" w:rsidP="00CE68D7">
            <w:pPr>
              <w:rPr>
                <w:rFonts w:cs="Arial"/>
                <w:b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214CDC" w:rsidRDefault="00CE68D7" w:rsidP="00015425">
            <w:pPr>
              <w:ind w:left="2412" w:right="-3053" w:hanging="2520"/>
              <w:rPr>
                <w:rFonts w:cs="Arial"/>
                <w:b/>
              </w:rPr>
            </w:pPr>
          </w:p>
        </w:tc>
      </w:tr>
      <w:tr w:rsidR="00CE68D7" w:rsidRPr="00214CDC" w:rsidTr="00015425">
        <w:trPr>
          <w:trHeight w:val="225"/>
        </w:trPr>
        <w:tc>
          <w:tcPr>
            <w:tcW w:w="3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214CDC" w:rsidRDefault="00CE68D7" w:rsidP="00CE68D7">
            <w:pPr>
              <w:rPr>
                <w:rFonts w:cs="Arial"/>
                <w:b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214CDC" w:rsidRDefault="00CE68D7" w:rsidP="00CE68D7">
            <w:pPr>
              <w:rPr>
                <w:rFonts w:cs="Arial"/>
                <w:b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214CDC" w:rsidRDefault="00CE68D7" w:rsidP="00CE68D7">
            <w:pPr>
              <w:rPr>
                <w:rFonts w:cs="Arial"/>
                <w:b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214CDC" w:rsidRDefault="00CE68D7" w:rsidP="00CE68D7">
            <w:pPr>
              <w:rPr>
                <w:rFonts w:cs="Arial"/>
                <w:b/>
              </w:rPr>
            </w:pPr>
          </w:p>
        </w:tc>
      </w:tr>
      <w:tr w:rsidR="00CE68D7" w:rsidRPr="00214CDC" w:rsidTr="0001542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214CDC" w:rsidRDefault="00CE68D7" w:rsidP="00CE68D7">
            <w:pPr>
              <w:rPr>
                <w:rFonts w:cs="Arial"/>
                <w:b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214CDC" w:rsidRDefault="00B47F0F" w:rsidP="0001542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           </w:t>
            </w:r>
            <w:r w:rsidR="00CE68D7" w:rsidRPr="00214CDC">
              <w:rPr>
                <w:rFonts w:cs="Arial"/>
                <w:b/>
              </w:rPr>
              <w:t>20</w:t>
            </w:r>
            <w:r w:rsidR="00015425" w:rsidRPr="00214CDC">
              <w:rPr>
                <w:rFonts w:cs="Arial"/>
                <w:b/>
              </w:rPr>
              <w:t>16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214CDC" w:rsidRDefault="00CE68D7" w:rsidP="00CE68D7">
            <w:pPr>
              <w:rPr>
                <w:rFonts w:cs="Arial"/>
                <w:b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214CDC" w:rsidRDefault="00CE68D7" w:rsidP="00015425">
            <w:pPr>
              <w:rPr>
                <w:rFonts w:cs="Arial"/>
                <w:b/>
              </w:rPr>
            </w:pPr>
            <w:r w:rsidRPr="00214CDC">
              <w:rPr>
                <w:rFonts w:cs="Arial"/>
                <w:b/>
              </w:rPr>
              <w:t xml:space="preserve"> </w:t>
            </w:r>
            <w:r w:rsidR="00B47F0F">
              <w:rPr>
                <w:rFonts w:cs="Arial"/>
                <w:b/>
              </w:rPr>
              <w:t xml:space="preserve">          </w:t>
            </w:r>
            <w:r w:rsidRPr="00214CDC">
              <w:rPr>
                <w:rFonts w:cs="Arial"/>
                <w:b/>
              </w:rPr>
              <w:t>20</w:t>
            </w:r>
            <w:r w:rsidR="00015425" w:rsidRPr="00214CDC">
              <w:rPr>
                <w:rFonts w:cs="Arial"/>
                <w:b/>
              </w:rPr>
              <w:t>17</w:t>
            </w:r>
          </w:p>
        </w:tc>
      </w:tr>
      <w:tr w:rsidR="00CE68D7" w:rsidRPr="00CE68D7" w:rsidTr="0001542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>Current assets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</w:tr>
      <w:tr w:rsidR="00CE68D7" w:rsidRPr="00CE68D7" w:rsidTr="0001542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 xml:space="preserve">   Cash and cash equivalents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015425">
            <w:pPr>
              <w:ind w:right="432"/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$700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015425">
            <w:pPr>
              <w:ind w:right="-18"/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$500 </w:t>
            </w:r>
          </w:p>
        </w:tc>
      </w:tr>
      <w:tr w:rsidR="00CE68D7" w:rsidRPr="00CE68D7" w:rsidTr="0001542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 xml:space="preserve">   Net patient receivables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015425">
            <w:pPr>
              <w:ind w:right="432"/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4,000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3,500 </w:t>
            </w:r>
          </w:p>
        </w:tc>
      </w:tr>
      <w:tr w:rsidR="00CE68D7" w:rsidRPr="00CE68D7" w:rsidTr="0001542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 xml:space="preserve">   Inventory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015425">
            <w:pPr>
              <w:ind w:right="432"/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950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750 </w:t>
            </w:r>
          </w:p>
        </w:tc>
      </w:tr>
      <w:tr w:rsidR="00CE68D7" w:rsidRPr="00CE68D7" w:rsidTr="0001542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>Total current assets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015425">
            <w:pPr>
              <w:ind w:right="432"/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5,650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5,250 </w:t>
            </w:r>
          </w:p>
        </w:tc>
      </w:tr>
      <w:tr w:rsidR="00CE68D7" w:rsidRPr="00CE68D7" w:rsidTr="0001542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015425">
            <w:pPr>
              <w:ind w:right="432"/>
              <w:rPr>
                <w:rFonts w:cs="Aria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</w:tr>
      <w:tr w:rsidR="00CE68D7" w:rsidRPr="00CE68D7" w:rsidTr="0001542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>Non-current assets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015425">
            <w:pPr>
              <w:ind w:right="432"/>
              <w:rPr>
                <w:rFonts w:cs="Aria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</w:tr>
      <w:tr w:rsidR="00CE68D7" w:rsidRPr="00CE68D7" w:rsidTr="0001542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>Plant, property, and equipment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015425">
            <w:pPr>
              <w:ind w:right="432"/>
              <w:rPr>
                <w:rFonts w:cs="Aria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</w:tr>
      <w:tr w:rsidR="00CE68D7" w:rsidRPr="00CE68D7" w:rsidTr="0001542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 xml:space="preserve">   Gross plant, property, and equipment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015425">
            <w:pPr>
              <w:ind w:right="432"/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26,500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24,000 </w:t>
            </w:r>
          </w:p>
        </w:tc>
      </w:tr>
      <w:tr w:rsidR="00CE68D7" w:rsidRPr="00CE68D7" w:rsidTr="0001542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 xml:space="preserve">      (less accumulated depreciation)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015425">
            <w:pPr>
              <w:ind w:right="432"/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>(18,000)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>(17,000)</w:t>
            </w:r>
          </w:p>
        </w:tc>
      </w:tr>
      <w:tr w:rsidR="00CE68D7" w:rsidRPr="00CE68D7" w:rsidTr="0001542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>Net plant, property, and equipment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015425">
            <w:pPr>
              <w:ind w:right="432"/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8,500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7,000 </w:t>
            </w:r>
          </w:p>
        </w:tc>
      </w:tr>
      <w:tr w:rsidR="00CE68D7" w:rsidRPr="00CE68D7" w:rsidTr="0001542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015425">
            <w:pPr>
              <w:ind w:right="432"/>
              <w:rPr>
                <w:rFonts w:cs="Aria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</w:tr>
      <w:tr w:rsidR="00CE68D7" w:rsidRPr="00CE68D7" w:rsidTr="0001542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>Board-designated funds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015425">
            <w:pPr>
              <w:ind w:right="432"/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18,000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9,000 </w:t>
            </w:r>
          </w:p>
        </w:tc>
      </w:tr>
      <w:tr w:rsidR="00CE68D7" w:rsidRPr="00CE68D7" w:rsidTr="0001542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015425">
            <w:pPr>
              <w:ind w:right="432"/>
              <w:rPr>
                <w:rFonts w:cs="Aria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</w:tr>
      <w:tr w:rsidR="00CE68D7" w:rsidRPr="00CE68D7" w:rsidTr="0001542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>Total assets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015425">
            <w:pPr>
              <w:ind w:right="432"/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32,150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21,250 </w:t>
            </w:r>
          </w:p>
        </w:tc>
      </w:tr>
      <w:tr w:rsidR="00CE68D7" w:rsidRPr="00CE68D7" w:rsidTr="0001542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015425">
            <w:pPr>
              <w:ind w:right="432"/>
              <w:rPr>
                <w:rFonts w:cs="Aria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</w:tr>
      <w:tr w:rsidR="00CE68D7" w:rsidRPr="00CE68D7" w:rsidTr="0001542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>Current liabilities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015425">
            <w:pPr>
              <w:ind w:right="432"/>
              <w:rPr>
                <w:rFonts w:cs="Aria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</w:tr>
      <w:tr w:rsidR="00CE68D7" w:rsidRPr="00CE68D7" w:rsidTr="0001542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 xml:space="preserve">   Accounts payable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015425">
            <w:pPr>
              <w:ind w:right="432"/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2,500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2,000 </w:t>
            </w:r>
          </w:p>
        </w:tc>
      </w:tr>
      <w:tr w:rsidR="00CE68D7" w:rsidRPr="00CE68D7" w:rsidTr="0001542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 xml:space="preserve">   Accrued expenses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015425">
            <w:pPr>
              <w:ind w:right="432"/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900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750 </w:t>
            </w:r>
          </w:p>
        </w:tc>
      </w:tr>
      <w:tr w:rsidR="00CE68D7" w:rsidRPr="00CE68D7" w:rsidTr="0001542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>Total current liabilities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015425">
            <w:pPr>
              <w:ind w:right="432"/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3,400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2,750 </w:t>
            </w:r>
          </w:p>
        </w:tc>
      </w:tr>
      <w:tr w:rsidR="00CE68D7" w:rsidRPr="00CE68D7" w:rsidTr="0001542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015425">
            <w:pPr>
              <w:ind w:right="432"/>
              <w:rPr>
                <w:rFonts w:cs="Aria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</w:tr>
      <w:tr w:rsidR="00CE68D7" w:rsidRPr="00CE68D7" w:rsidTr="0001542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>Long-term liabilities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015425">
            <w:pPr>
              <w:ind w:right="432"/>
              <w:rPr>
                <w:rFonts w:cs="Aria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</w:tr>
      <w:tr w:rsidR="00CE68D7" w:rsidRPr="00CE68D7" w:rsidTr="0001542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 xml:space="preserve">   Bonds payable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015425">
            <w:pPr>
              <w:ind w:right="432"/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6,500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8,000 </w:t>
            </w:r>
          </w:p>
        </w:tc>
      </w:tr>
      <w:tr w:rsidR="00CE68D7" w:rsidRPr="00CE68D7" w:rsidTr="0001542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>Total long-term liabilities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015425">
            <w:pPr>
              <w:ind w:right="432"/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6,500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8,000 </w:t>
            </w:r>
          </w:p>
        </w:tc>
      </w:tr>
      <w:tr w:rsidR="00CE68D7" w:rsidRPr="00CE68D7" w:rsidTr="0001542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015425">
            <w:pPr>
              <w:ind w:right="432"/>
              <w:rPr>
                <w:rFonts w:cs="Aria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</w:tr>
      <w:tr w:rsidR="00CE68D7" w:rsidRPr="00CE68D7" w:rsidTr="0001542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>Net assets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015425">
            <w:pPr>
              <w:ind w:right="432"/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22,250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10,500 </w:t>
            </w:r>
          </w:p>
        </w:tc>
      </w:tr>
      <w:tr w:rsidR="00CE68D7" w:rsidRPr="00CE68D7" w:rsidTr="00015425">
        <w:trPr>
          <w:trHeight w:val="225"/>
        </w:trPr>
        <w:tc>
          <w:tcPr>
            <w:tcW w:w="3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31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015425">
            <w:pPr>
              <w:ind w:right="432"/>
              <w:rPr>
                <w:rFonts w:cs="Arial"/>
              </w:rPr>
            </w:pPr>
          </w:p>
        </w:tc>
        <w:tc>
          <w:tcPr>
            <w:tcW w:w="12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6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</w:tr>
      <w:tr w:rsidR="00CE68D7" w:rsidRPr="00CE68D7" w:rsidTr="00015425">
        <w:trPr>
          <w:trHeight w:val="22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  <w:r w:rsidRPr="00CE68D7">
              <w:rPr>
                <w:rFonts w:cs="Arial"/>
              </w:rPr>
              <w:t>Total liabilities and net assets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015425">
            <w:pPr>
              <w:ind w:right="432"/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$32,150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rPr>
                <w:rFonts w:cs="Arial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8D7" w:rsidRPr="00CE68D7" w:rsidRDefault="00CE68D7" w:rsidP="00CE68D7">
            <w:pPr>
              <w:jc w:val="right"/>
              <w:rPr>
                <w:rFonts w:cs="Arial"/>
              </w:rPr>
            </w:pPr>
            <w:r w:rsidRPr="00CE68D7">
              <w:rPr>
                <w:rFonts w:cs="Arial"/>
              </w:rPr>
              <w:t xml:space="preserve">$21,250 </w:t>
            </w:r>
          </w:p>
        </w:tc>
      </w:tr>
    </w:tbl>
    <w:p w:rsidR="00CE68D7" w:rsidRDefault="00CE68D7" w:rsidP="00D55E3A">
      <w:pPr>
        <w:pStyle w:val="Header"/>
        <w:rPr>
          <w:rFonts w:cs="Arial"/>
          <w:color w:val="FF0000"/>
        </w:rPr>
      </w:pPr>
    </w:p>
    <w:p w:rsidR="00CE68D7" w:rsidRDefault="00CE68D7" w:rsidP="00D55E3A">
      <w:pPr>
        <w:pStyle w:val="Header"/>
        <w:rPr>
          <w:rFonts w:cs="Arial"/>
          <w:color w:val="FF0000"/>
        </w:rPr>
      </w:pPr>
    </w:p>
    <w:p w:rsidR="00792792" w:rsidRPr="003B55D1" w:rsidRDefault="00792792" w:rsidP="00792792">
      <w:pPr>
        <w:rPr>
          <w:rFonts w:cs="Arial"/>
          <w:b/>
        </w:rPr>
      </w:pPr>
      <w:r w:rsidRPr="003B55D1">
        <w:rPr>
          <w:rFonts w:cs="Arial"/>
          <w:b/>
        </w:rPr>
        <w:t>To prepare for this Assignment:</w:t>
      </w:r>
    </w:p>
    <w:p w:rsidR="00792792" w:rsidRDefault="00792792" w:rsidP="00792792">
      <w:pPr>
        <w:rPr>
          <w:rFonts w:cs="Arial"/>
        </w:rPr>
      </w:pPr>
    </w:p>
    <w:p w:rsidR="00792792" w:rsidRDefault="00792792" w:rsidP="00792792">
      <w:pPr>
        <w:rPr>
          <w:rFonts w:cs="Arial"/>
        </w:rPr>
      </w:pPr>
      <w:r>
        <w:rPr>
          <w:rFonts w:cs="Arial"/>
        </w:rPr>
        <w:t xml:space="preserve">Examine the financial statements from Louisville Community Hospital. Reflect on how you will use this financial data to calculate and analyze the organization’s financial ratios. </w:t>
      </w:r>
      <w:r w:rsidR="00F95007" w:rsidRPr="00D8686B">
        <w:rPr>
          <w:rFonts w:cs="Arial"/>
        </w:rPr>
        <w:t xml:space="preserve">Refer to </w:t>
      </w:r>
      <w:r w:rsidR="00F95007">
        <w:rPr>
          <w:rFonts w:cs="Arial"/>
        </w:rPr>
        <w:t xml:space="preserve">Chapter 4 of </w:t>
      </w:r>
      <w:r w:rsidR="00B305E3" w:rsidRPr="00B305E3">
        <w:rPr>
          <w:rFonts w:cs="Arial"/>
          <w:i/>
        </w:rPr>
        <w:t xml:space="preserve">Financial Management of Health Care Organizations: An Introduction to Fundamental Tools, Concepts and Applications </w:t>
      </w:r>
      <w:r w:rsidR="00F95007" w:rsidRPr="00D8686B">
        <w:rPr>
          <w:rFonts w:cs="Arial"/>
        </w:rPr>
        <w:t>for additional guidance.</w:t>
      </w:r>
    </w:p>
    <w:p w:rsidR="00792792" w:rsidRDefault="00792792" w:rsidP="00792792">
      <w:pPr>
        <w:rPr>
          <w:rFonts w:cs="Arial"/>
          <w:b/>
          <w:sz w:val="28"/>
          <w:szCs w:val="28"/>
        </w:rPr>
      </w:pPr>
    </w:p>
    <w:p w:rsidR="00792792" w:rsidRPr="003B55D1" w:rsidRDefault="00792792" w:rsidP="00792792">
      <w:pPr>
        <w:rPr>
          <w:rFonts w:cs="Arial"/>
          <w:b/>
        </w:rPr>
      </w:pPr>
      <w:r w:rsidRPr="003B55D1">
        <w:rPr>
          <w:rFonts w:cs="Arial"/>
          <w:b/>
        </w:rPr>
        <w:t>The Assignment:</w:t>
      </w:r>
    </w:p>
    <w:p w:rsidR="00792792" w:rsidRDefault="00792792" w:rsidP="00792792">
      <w:pPr>
        <w:rPr>
          <w:rFonts w:cs="Arial"/>
          <w:b/>
          <w:sz w:val="28"/>
          <w:szCs w:val="28"/>
        </w:rPr>
      </w:pPr>
    </w:p>
    <w:p w:rsidR="00CE68D7" w:rsidRDefault="00792792" w:rsidP="00214CDC">
      <w:pPr>
        <w:rPr>
          <w:rFonts w:cs="Arial"/>
          <w:color w:val="FF0000"/>
        </w:rPr>
      </w:pPr>
      <w:r>
        <w:rPr>
          <w:rFonts w:cs="Arial"/>
        </w:rPr>
        <w:t xml:space="preserve">Using the </w:t>
      </w:r>
      <w:r w:rsidR="00C77D3A">
        <w:rPr>
          <w:rFonts w:cs="Arial"/>
        </w:rPr>
        <w:t xml:space="preserve">statement of operations and balance sheet for </w:t>
      </w:r>
      <w:r>
        <w:rPr>
          <w:rFonts w:cs="Arial"/>
        </w:rPr>
        <w:t xml:space="preserve">Louisville Community Hospital, complete </w:t>
      </w:r>
      <w:r w:rsidRPr="00AE5B4B">
        <w:rPr>
          <w:rFonts w:cs="Arial"/>
        </w:rPr>
        <w:t xml:space="preserve">the </w:t>
      </w:r>
      <w:r w:rsidR="00AE5B4B" w:rsidRPr="00AE5B4B">
        <w:rPr>
          <w:rFonts w:cs="Arial"/>
          <w:color w:val="333333"/>
        </w:rPr>
        <w:t>“Week 8 Assignment 1 Ratio Excel Template”</w:t>
      </w:r>
      <w:r w:rsidRPr="00AE5B4B">
        <w:rPr>
          <w:rFonts w:cs="Arial"/>
        </w:rPr>
        <w:t>.</w:t>
      </w:r>
      <w:r>
        <w:rPr>
          <w:rFonts w:cs="Arial"/>
        </w:rPr>
        <w:t xml:space="preserve"> </w:t>
      </w:r>
    </w:p>
    <w:p w:rsidR="00CE68D7" w:rsidRDefault="00CE68D7" w:rsidP="00D55E3A">
      <w:pPr>
        <w:pStyle w:val="Header"/>
        <w:rPr>
          <w:rFonts w:cs="Arial"/>
          <w:color w:val="FF0000"/>
        </w:rPr>
      </w:pPr>
    </w:p>
    <w:p w:rsidR="00D55E3A" w:rsidRDefault="00D55E3A" w:rsidP="00D55E3A">
      <w:pPr>
        <w:rPr>
          <w:rFonts w:cs="Arial"/>
          <w:b/>
        </w:rPr>
      </w:pPr>
      <w:r>
        <w:rPr>
          <w:rFonts w:cs="Arial"/>
          <w:b/>
        </w:rPr>
        <w:t>Your Assignment is due by</w:t>
      </w:r>
      <w:r>
        <w:rPr>
          <w:rFonts w:cs="Arial"/>
        </w:rPr>
        <w:t xml:space="preserve"> </w:t>
      </w:r>
      <w:r>
        <w:rPr>
          <w:rFonts w:cs="Arial"/>
          <w:b/>
        </w:rPr>
        <w:t>Day 7</w:t>
      </w:r>
      <w:r w:rsidR="00005507">
        <w:rPr>
          <w:rFonts w:cs="Arial"/>
          <w:b/>
        </w:rPr>
        <w:t xml:space="preserve"> of Week 8</w:t>
      </w:r>
      <w:r>
        <w:rPr>
          <w:rFonts w:cs="Arial"/>
          <w:b/>
        </w:rPr>
        <w:t>.</w:t>
      </w:r>
    </w:p>
    <w:p w:rsidR="00D55E3A" w:rsidRDefault="00D55E3A" w:rsidP="00D55E3A">
      <w:pPr>
        <w:jc w:val="center"/>
      </w:pPr>
    </w:p>
    <w:p w:rsidR="00D55E3A" w:rsidRDefault="00D55E3A" w:rsidP="00D55E3A"/>
    <w:sectPr w:rsidR="00D55E3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A28" w:rsidRDefault="00A35A28" w:rsidP="004C567F">
      <w:r>
        <w:separator/>
      </w:r>
    </w:p>
  </w:endnote>
  <w:endnote w:type="continuationSeparator" w:id="0">
    <w:p w:rsidR="00A35A28" w:rsidRDefault="00A35A28" w:rsidP="004C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67F" w:rsidRPr="004C567F" w:rsidRDefault="004C567F" w:rsidP="004C567F">
    <w:pPr>
      <w:tabs>
        <w:tab w:val="right" w:pos="9360"/>
      </w:tabs>
      <w:rPr>
        <w:sz w:val="20"/>
      </w:rPr>
    </w:pPr>
    <w:r w:rsidRPr="004C567F">
      <w:rPr>
        <w:sz w:val="20"/>
      </w:rPr>
      <w:t>© 2015 Laureate Education, Inc.</w:t>
    </w:r>
    <w:r w:rsidRPr="004C567F">
      <w:rPr>
        <w:sz w:val="20"/>
      </w:rPr>
      <w:tab/>
      <w:t xml:space="preserve">Page </w:t>
    </w:r>
    <w:r w:rsidRPr="004C567F">
      <w:rPr>
        <w:sz w:val="20"/>
      </w:rPr>
      <w:fldChar w:fldCharType="begin"/>
    </w:r>
    <w:r w:rsidRPr="004C567F">
      <w:rPr>
        <w:sz w:val="20"/>
      </w:rPr>
      <w:instrText xml:space="preserve"> PAGE   \* MERGEFORMAT </w:instrText>
    </w:r>
    <w:r w:rsidRPr="004C567F">
      <w:rPr>
        <w:sz w:val="20"/>
      </w:rPr>
      <w:fldChar w:fldCharType="separate"/>
    </w:r>
    <w:r w:rsidR="00743188">
      <w:rPr>
        <w:noProof/>
        <w:sz w:val="20"/>
      </w:rPr>
      <w:t>3</w:t>
    </w:r>
    <w:r w:rsidRPr="004C567F">
      <w:rPr>
        <w:noProof/>
        <w:sz w:val="20"/>
      </w:rPr>
      <w:fldChar w:fldCharType="end"/>
    </w:r>
    <w:r w:rsidRPr="004C567F">
      <w:rPr>
        <w:sz w:val="20"/>
      </w:rPr>
      <w:t xml:space="preserve"> of </w:t>
    </w:r>
    <w:r w:rsidRPr="004C567F">
      <w:rPr>
        <w:sz w:val="20"/>
      </w:rPr>
      <w:fldChar w:fldCharType="begin"/>
    </w:r>
    <w:r w:rsidRPr="004C567F">
      <w:rPr>
        <w:sz w:val="20"/>
      </w:rPr>
      <w:instrText xml:space="preserve"> NUMPAGES   \* MERGEFORMAT </w:instrText>
    </w:r>
    <w:r w:rsidRPr="004C567F">
      <w:rPr>
        <w:sz w:val="20"/>
      </w:rPr>
      <w:fldChar w:fldCharType="separate"/>
    </w:r>
    <w:r w:rsidR="00743188">
      <w:rPr>
        <w:noProof/>
        <w:sz w:val="20"/>
      </w:rPr>
      <w:t>3</w:t>
    </w:r>
    <w:r w:rsidRPr="004C567F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A28" w:rsidRDefault="00A35A28" w:rsidP="004C567F">
      <w:r>
        <w:separator/>
      </w:r>
    </w:p>
  </w:footnote>
  <w:footnote w:type="continuationSeparator" w:id="0">
    <w:p w:rsidR="00A35A28" w:rsidRDefault="00A35A28" w:rsidP="004C5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24823"/>
    <w:multiLevelType w:val="hybridMultilevel"/>
    <w:tmpl w:val="58ECBB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C66EEB6-CC9B-46FB-A7AD-693DF661CCCE}"/>
    <w:docVar w:name="dgnword-eventsink" w:val="373354792"/>
  </w:docVars>
  <w:rsids>
    <w:rsidRoot w:val="00D55E3A"/>
    <w:rsid w:val="00005507"/>
    <w:rsid w:val="00015425"/>
    <w:rsid w:val="000452AE"/>
    <w:rsid w:val="000764A4"/>
    <w:rsid w:val="001131A5"/>
    <w:rsid w:val="00125D33"/>
    <w:rsid w:val="0018098A"/>
    <w:rsid w:val="00214CDC"/>
    <w:rsid w:val="00225FE1"/>
    <w:rsid w:val="0023482C"/>
    <w:rsid w:val="00253A5E"/>
    <w:rsid w:val="002707EF"/>
    <w:rsid w:val="002C3765"/>
    <w:rsid w:val="003B55D1"/>
    <w:rsid w:val="003C0E42"/>
    <w:rsid w:val="003D25B5"/>
    <w:rsid w:val="003F17B7"/>
    <w:rsid w:val="00486D03"/>
    <w:rsid w:val="004C567F"/>
    <w:rsid w:val="004D4C62"/>
    <w:rsid w:val="00587BC4"/>
    <w:rsid w:val="005E26F2"/>
    <w:rsid w:val="00602DBB"/>
    <w:rsid w:val="00640281"/>
    <w:rsid w:val="00642207"/>
    <w:rsid w:val="006F1C41"/>
    <w:rsid w:val="00743188"/>
    <w:rsid w:val="00761EAC"/>
    <w:rsid w:val="00785D44"/>
    <w:rsid w:val="00792792"/>
    <w:rsid w:val="007C3CB9"/>
    <w:rsid w:val="007C6D17"/>
    <w:rsid w:val="007D2E32"/>
    <w:rsid w:val="0085309A"/>
    <w:rsid w:val="008A29EF"/>
    <w:rsid w:val="009304FF"/>
    <w:rsid w:val="009E605A"/>
    <w:rsid w:val="00A35A28"/>
    <w:rsid w:val="00AE5B4B"/>
    <w:rsid w:val="00B252AA"/>
    <w:rsid w:val="00B305E3"/>
    <w:rsid w:val="00B43B4D"/>
    <w:rsid w:val="00B47F0F"/>
    <w:rsid w:val="00C77D3A"/>
    <w:rsid w:val="00CA2006"/>
    <w:rsid w:val="00CE4C3C"/>
    <w:rsid w:val="00CE68D7"/>
    <w:rsid w:val="00D55E3A"/>
    <w:rsid w:val="00E5651A"/>
    <w:rsid w:val="00EF0707"/>
    <w:rsid w:val="00EF3D63"/>
    <w:rsid w:val="00F756E7"/>
    <w:rsid w:val="00F9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D4A978-A8D5-4CC1-9FEE-D8EF245B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14CDC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2"/>
    <w:qFormat/>
    <w:rsid w:val="00214CDC"/>
    <w:pPr>
      <w:keepNext/>
      <w:jc w:val="center"/>
      <w:outlineLvl w:val="0"/>
    </w:pPr>
    <w:rPr>
      <w:rFonts w:cs="Arial"/>
      <w:b/>
      <w:bCs/>
      <w:kern w:val="32"/>
      <w:sz w:val="28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3"/>
    <w:qFormat/>
    <w:rsid w:val="00214CDC"/>
    <w:pPr>
      <w:keepNext/>
      <w:outlineLvl w:val="1"/>
    </w:pPr>
    <w:rPr>
      <w:b/>
      <w:bCs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4"/>
    <w:qFormat/>
    <w:rsid w:val="00214CDC"/>
    <w:pPr>
      <w:keepNext/>
      <w:outlineLvl w:val="2"/>
    </w:pPr>
    <w:rPr>
      <w:b/>
      <w:bCs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5"/>
    <w:qFormat/>
    <w:rsid w:val="00214CDC"/>
    <w:pPr>
      <w:keepNext/>
      <w:outlineLvl w:val="3"/>
    </w:pPr>
    <w:rPr>
      <w:rFonts w:eastAsiaTheme="majorEastAsia" w:cstheme="majorBidi"/>
      <w:b/>
      <w:bCs/>
      <w:i/>
      <w:szCs w:val="28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214CDC"/>
    <w:pPr>
      <w:spacing w:before="240" w:after="60"/>
      <w:outlineLvl w:val="6"/>
    </w:pPr>
    <w:rPr>
      <w:rFonts w:ascii="Calibri" w:hAnsi="Calibri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214CDC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214CDC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D55E3A"/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5E3A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55E3A"/>
    <w:pPr>
      <w:tabs>
        <w:tab w:val="center" w:pos="4680"/>
        <w:tab w:val="right" w:pos="9360"/>
      </w:tabs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D55E3A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D55E3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E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5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7C6D1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792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792"/>
    <w:rPr>
      <w:rFonts w:eastAsiaTheme="minorEastAsia"/>
      <w:b/>
      <w:bCs/>
      <w:sz w:val="20"/>
      <w:szCs w:val="20"/>
    </w:rPr>
  </w:style>
  <w:style w:type="paragraph" w:customStyle="1" w:styleId="Biblio">
    <w:name w:val="Biblio"/>
    <w:basedOn w:val="Normal"/>
    <w:link w:val="BiblioChar"/>
    <w:qFormat/>
    <w:rsid w:val="00214CDC"/>
    <w:pPr>
      <w:spacing w:line="480" w:lineRule="auto"/>
      <w:ind w:left="720" w:hanging="720"/>
      <w:outlineLvl w:val="5"/>
    </w:pPr>
    <w:rPr>
      <w:rFonts w:cs="Arial"/>
      <w:lang w:eastAsia="zh-CN"/>
    </w:rPr>
  </w:style>
  <w:style w:type="character" w:customStyle="1" w:styleId="BiblioChar">
    <w:name w:val="Biblio Char"/>
    <w:basedOn w:val="DefaultParagraphFont"/>
    <w:link w:val="Biblio"/>
    <w:rsid w:val="00214CDC"/>
    <w:rPr>
      <w:rFonts w:cs="Arial"/>
      <w:sz w:val="24"/>
      <w:szCs w:val="24"/>
      <w:lang w:eastAsia="zh-CN" w:bidi="en-US"/>
    </w:rPr>
  </w:style>
  <w:style w:type="paragraph" w:customStyle="1" w:styleId="Heading4-Indent">
    <w:name w:val="Heading 4 - Indent"/>
    <w:basedOn w:val="Heading4"/>
    <w:link w:val="Heading4-IndentChar"/>
    <w:uiPriority w:val="5"/>
    <w:qFormat/>
    <w:rsid w:val="00214CDC"/>
    <w:pPr>
      <w:ind w:left="720"/>
    </w:pPr>
  </w:style>
  <w:style w:type="character" w:customStyle="1" w:styleId="Heading4-IndentChar">
    <w:name w:val="Heading 4 - Indent Char"/>
    <w:basedOn w:val="Heading4Char"/>
    <w:link w:val="Heading4-Indent"/>
    <w:uiPriority w:val="5"/>
    <w:rsid w:val="00214CDC"/>
    <w:rPr>
      <w:rFonts w:eastAsiaTheme="majorEastAsia" w:cstheme="majorBidi"/>
      <w:b/>
      <w:bCs/>
      <w:i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5"/>
    <w:rsid w:val="00214CDC"/>
    <w:rPr>
      <w:rFonts w:eastAsiaTheme="majorEastAsia" w:cstheme="majorBidi"/>
      <w:b/>
      <w:bCs/>
      <w:i/>
      <w:sz w:val="24"/>
      <w:szCs w:val="28"/>
    </w:rPr>
  </w:style>
  <w:style w:type="paragraph" w:customStyle="1" w:styleId="Blockquote-Normal">
    <w:name w:val="Blockquote - Normal"/>
    <w:basedOn w:val="Normal"/>
    <w:link w:val="Blockquote-NormalChar"/>
    <w:qFormat/>
    <w:rsid w:val="00214CDC"/>
    <w:pPr>
      <w:ind w:left="720"/>
    </w:pPr>
  </w:style>
  <w:style w:type="character" w:customStyle="1" w:styleId="Blockquote-NormalChar">
    <w:name w:val="Blockquote - Normal Char"/>
    <w:basedOn w:val="DefaultParagraphFont"/>
    <w:link w:val="Blockquote-Normal"/>
    <w:rsid w:val="00214CDC"/>
    <w:rPr>
      <w:sz w:val="24"/>
      <w:szCs w:val="24"/>
      <w:lang w:bidi="en-US"/>
    </w:rPr>
  </w:style>
  <w:style w:type="paragraph" w:customStyle="1" w:styleId="SmallFont">
    <w:name w:val="Small Font"/>
    <w:basedOn w:val="Normal"/>
    <w:link w:val="SmallFontChar"/>
    <w:qFormat/>
    <w:rsid w:val="00214CDC"/>
    <w:rPr>
      <w:sz w:val="20"/>
    </w:rPr>
  </w:style>
  <w:style w:type="character" w:customStyle="1" w:styleId="SmallFontChar">
    <w:name w:val="Small Font Char"/>
    <w:basedOn w:val="DefaultParagraphFont"/>
    <w:link w:val="SmallFont"/>
    <w:rsid w:val="00214CDC"/>
    <w:rPr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2"/>
    <w:rsid w:val="00214CDC"/>
    <w:rPr>
      <w:rFonts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214CDC"/>
    <w:rPr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4"/>
    <w:rsid w:val="00214CDC"/>
    <w:rPr>
      <w:b/>
      <w:bCs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CDC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CDC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CDC"/>
    <w:rPr>
      <w:rFonts w:ascii="Cambria" w:hAnsi="Cambria"/>
    </w:rPr>
  </w:style>
  <w:style w:type="paragraph" w:styleId="TOCHeading">
    <w:name w:val="TOC Heading"/>
    <w:basedOn w:val="Heading1"/>
    <w:next w:val="Normal"/>
    <w:uiPriority w:val="39"/>
    <w:semiHidden/>
    <w:qFormat/>
    <w:rsid w:val="00214CDC"/>
    <w:pPr>
      <w:outlineLvl w:val="9"/>
    </w:pPr>
    <w:rPr>
      <w:rFonts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C56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67F"/>
    <w:rPr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numbering" Target="numbering.xml"/>
  <Relationship Id="rId5" Type="http://schemas.openxmlformats.org/officeDocument/2006/relationships/styles" Target="styles.xml"/>
  <Relationship Id="rId6" Type="http://schemas.openxmlformats.org/officeDocument/2006/relationships/settings" Target="settings.xml"/>
  <Relationship Id="rId7" Type="http://schemas.openxmlformats.org/officeDocument/2006/relationships/webSettings" Target="webSettings.xml"/>
  <Relationship Id="rId8" Type="http://schemas.openxmlformats.org/officeDocument/2006/relationships/footnotes" Target="footnotes.xml"/>
  <Relationship Id="rId9" Type="http://schemas.openxmlformats.org/officeDocument/2006/relationships/endnotes" Target="end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CE7088BA5854B86307AE4240A84F2" ma:contentTypeVersion="2" ma:contentTypeDescription="Create a new document." ma:contentTypeScope="" ma:versionID="2d0d8ea895c2aabad9111489f76b2a4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853f918d9f8f74f01fff476404650b97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A396BC-87E3-4151-BCB3-7E115145FE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53F48-F49B-4B29-999A-F51DB64C05F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FED825A-EA47-4401-82F7-8D93C49E3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451</Words>
  <Characters>2576</Characters>
  <Application/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8 Assignment 1</vt:lpstr>
    </vt:vector>
  </TitlesOfParts>
  <Company/>
  <LinksUpToDate>false</LinksUpToDate>
  <CharactersWithSpaces>3021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