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41E" w:rsidRDefault="00122454" w:rsidP="00A94809">
      <w:pPr>
        <w:spacing w:line="480" w:lineRule="auto"/>
        <w:jc w:val="center"/>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Kransky v. Depuy Orthopaedics, Inc.</w:t>
      </w:r>
    </w:p>
    <w:p w:rsidR="000B7AF3" w:rsidRPr="00203DA6" w:rsidRDefault="000B7AF3" w:rsidP="00A94809">
      <w:pPr>
        <w:spacing w:line="480" w:lineRule="auto"/>
        <w:rPr>
          <w:rFonts w:ascii="Times New Roman" w:eastAsia="Times New Roman" w:hAnsi="Times New Roman" w:cs="Times New Roman"/>
          <w:b/>
          <w:sz w:val="24"/>
          <w:szCs w:val="24"/>
          <w:u w:val="single"/>
        </w:rPr>
      </w:pPr>
      <w:r w:rsidRPr="00203DA6">
        <w:rPr>
          <w:rFonts w:ascii="Times New Roman" w:eastAsia="Times New Roman" w:hAnsi="Times New Roman" w:cs="Times New Roman"/>
          <w:b/>
          <w:sz w:val="24"/>
          <w:szCs w:val="24"/>
          <w:u w:val="single"/>
        </w:rPr>
        <w:t>Parties:</w:t>
      </w:r>
    </w:p>
    <w:p w:rsidR="0032032F" w:rsidRDefault="0032032F" w:rsidP="00A94809">
      <w:pPr>
        <w:spacing w:line="480" w:lineRule="auto"/>
        <w:rPr>
          <w:rFonts w:ascii="Times New Roman" w:eastAsia="Times New Roman" w:hAnsi="Times New Roman" w:cs="Times New Roman"/>
          <w:b/>
          <w:sz w:val="24"/>
          <w:szCs w:val="24"/>
          <w:u w:val="single"/>
        </w:rPr>
      </w:pPr>
    </w:p>
    <w:p w:rsidR="000B7AF3" w:rsidRPr="000A697C" w:rsidRDefault="000B7AF3" w:rsidP="00A94809">
      <w:pPr>
        <w:spacing w:line="480" w:lineRule="auto"/>
        <w:rPr>
          <w:rFonts w:ascii="Times New Roman" w:eastAsia="Times New Roman" w:hAnsi="Times New Roman" w:cs="Times New Roman"/>
          <w:b/>
          <w:sz w:val="24"/>
          <w:szCs w:val="24"/>
          <w:u w:val="single"/>
        </w:rPr>
      </w:pPr>
      <w:r w:rsidRPr="000A697C">
        <w:rPr>
          <w:rFonts w:ascii="Times New Roman" w:eastAsia="Times New Roman" w:hAnsi="Times New Roman" w:cs="Times New Roman"/>
          <w:b/>
          <w:sz w:val="24"/>
          <w:szCs w:val="24"/>
          <w:u w:val="single"/>
        </w:rPr>
        <w:t>Facts:</w:t>
      </w:r>
    </w:p>
    <w:p w:rsidR="0032032F" w:rsidRDefault="0032032F" w:rsidP="00A94809">
      <w:pPr>
        <w:spacing w:line="480" w:lineRule="auto"/>
        <w:rPr>
          <w:rFonts w:ascii="Times New Roman" w:hAnsi="Times New Roman" w:cs="Times New Roman"/>
          <w:sz w:val="24"/>
          <w:szCs w:val="24"/>
        </w:rPr>
      </w:pPr>
    </w:p>
    <w:p w:rsidR="0032032F" w:rsidRDefault="0032032F" w:rsidP="00A94809">
      <w:pPr>
        <w:spacing w:line="480" w:lineRule="auto"/>
        <w:rPr>
          <w:rFonts w:ascii="Times New Roman" w:hAnsi="Times New Roman" w:cs="Times New Roman"/>
          <w:sz w:val="24"/>
          <w:szCs w:val="24"/>
        </w:rPr>
      </w:pPr>
    </w:p>
    <w:p w:rsidR="000D2AC1" w:rsidRPr="00354DB1" w:rsidRDefault="00354DB1" w:rsidP="00A9480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Procedure</w:t>
      </w:r>
      <w:r w:rsidRPr="000A697C">
        <w:rPr>
          <w:rFonts w:ascii="Times New Roman" w:eastAsia="Times New Roman" w:hAnsi="Times New Roman" w:cs="Times New Roman"/>
          <w:b/>
          <w:sz w:val="24"/>
          <w:szCs w:val="24"/>
          <w:u w:val="single"/>
        </w:rPr>
        <w:t>:</w:t>
      </w:r>
    </w:p>
    <w:p w:rsidR="00C3741E" w:rsidRDefault="00C3741E" w:rsidP="00A94809">
      <w:pPr>
        <w:spacing w:line="480" w:lineRule="auto"/>
        <w:rPr>
          <w:rFonts w:ascii="Times New Roman" w:eastAsia="Times New Roman" w:hAnsi="Times New Roman" w:cs="Times New Roman"/>
          <w:b/>
          <w:sz w:val="24"/>
          <w:szCs w:val="24"/>
          <w:u w:val="single"/>
        </w:rPr>
      </w:pPr>
    </w:p>
    <w:p w:rsidR="00C3741E" w:rsidRDefault="00C3741E" w:rsidP="00A94809">
      <w:pPr>
        <w:spacing w:line="480" w:lineRule="auto"/>
        <w:rPr>
          <w:rFonts w:ascii="Times New Roman" w:eastAsia="Times New Roman" w:hAnsi="Times New Roman" w:cs="Times New Roman"/>
          <w:b/>
          <w:sz w:val="24"/>
          <w:szCs w:val="24"/>
          <w:u w:val="single"/>
        </w:rPr>
      </w:pPr>
    </w:p>
    <w:p w:rsidR="00C3741E" w:rsidRDefault="00C3741E" w:rsidP="00A94809">
      <w:pPr>
        <w:spacing w:line="480" w:lineRule="auto"/>
        <w:rPr>
          <w:rFonts w:ascii="Times New Roman" w:eastAsia="Times New Roman" w:hAnsi="Times New Roman" w:cs="Times New Roman"/>
          <w:b/>
          <w:sz w:val="24"/>
          <w:szCs w:val="24"/>
          <w:u w:val="single"/>
        </w:rPr>
      </w:pPr>
    </w:p>
    <w:p w:rsidR="00C3741E" w:rsidRDefault="00C3741E" w:rsidP="00A94809">
      <w:pPr>
        <w:spacing w:line="480" w:lineRule="auto"/>
        <w:rPr>
          <w:rFonts w:ascii="Times New Roman" w:eastAsia="Times New Roman" w:hAnsi="Times New Roman" w:cs="Times New Roman"/>
          <w:b/>
          <w:sz w:val="24"/>
          <w:szCs w:val="24"/>
          <w:u w:val="single"/>
        </w:rPr>
      </w:pPr>
    </w:p>
    <w:p w:rsidR="00114F4D" w:rsidRPr="00354DB1" w:rsidRDefault="00114F4D" w:rsidP="00A9480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Issues</w:t>
      </w:r>
      <w:r w:rsidRPr="000A697C">
        <w:rPr>
          <w:rFonts w:ascii="Times New Roman" w:eastAsia="Times New Roman" w:hAnsi="Times New Roman" w:cs="Times New Roman"/>
          <w:b/>
          <w:sz w:val="24"/>
          <w:szCs w:val="24"/>
          <w:u w:val="single"/>
        </w:rPr>
        <w:t>:</w:t>
      </w:r>
    </w:p>
    <w:p w:rsidR="00BD04E0" w:rsidRPr="00C53284" w:rsidRDefault="005C1E78" w:rsidP="00C532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original issue for this case was </w:t>
      </w:r>
      <w:r w:rsidR="00B570DD">
        <w:rPr>
          <w:rFonts w:ascii="Times New Roman" w:hAnsi="Times New Roman" w:cs="Times New Roman"/>
          <w:sz w:val="24"/>
          <w:szCs w:val="24"/>
        </w:rPr>
        <w:t xml:space="preserve">the </w:t>
      </w:r>
      <w:r>
        <w:rPr>
          <w:rFonts w:ascii="Times New Roman" w:hAnsi="Times New Roman" w:cs="Times New Roman"/>
          <w:sz w:val="24"/>
          <w:szCs w:val="24"/>
        </w:rPr>
        <w:t>injury, pain, and suffering caused by a defective hip implant manufactured by Depuy Orthopaedics</w:t>
      </w:r>
      <w:r w:rsidR="00C53284">
        <w:rPr>
          <w:rFonts w:ascii="Times New Roman" w:hAnsi="Times New Roman" w:cs="Times New Roman"/>
          <w:sz w:val="24"/>
          <w:szCs w:val="24"/>
        </w:rPr>
        <w:t xml:space="preserve"> (a subsidiary of Johnson &amp; Johnson)</w:t>
      </w:r>
      <w:r>
        <w:rPr>
          <w:rFonts w:ascii="Times New Roman" w:hAnsi="Times New Roman" w:cs="Times New Roman"/>
          <w:sz w:val="24"/>
          <w:szCs w:val="24"/>
        </w:rPr>
        <w:t>.  In the issues related to the appeal</w:t>
      </w:r>
      <w:r w:rsidR="00B570DD">
        <w:rPr>
          <w:rFonts w:ascii="Times New Roman" w:hAnsi="Times New Roman" w:cs="Times New Roman"/>
          <w:sz w:val="24"/>
          <w:szCs w:val="24"/>
        </w:rPr>
        <w:t>,</w:t>
      </w:r>
      <w:r w:rsidR="0030450D">
        <w:rPr>
          <w:rFonts w:ascii="Times New Roman" w:hAnsi="Times New Roman" w:cs="Times New Roman"/>
          <w:sz w:val="24"/>
          <w:szCs w:val="24"/>
        </w:rPr>
        <w:t xml:space="preserve"> Depuy claims</w:t>
      </w:r>
      <w:r>
        <w:rPr>
          <w:rFonts w:ascii="Times New Roman" w:hAnsi="Times New Roman" w:cs="Times New Roman"/>
          <w:sz w:val="24"/>
          <w:szCs w:val="24"/>
        </w:rPr>
        <w:t xml:space="preserve"> the trial court abused its discretion by not allowing testimony related to the FDA clearan</w:t>
      </w:r>
      <w:r w:rsidR="007C0B2E">
        <w:rPr>
          <w:rFonts w:ascii="Times New Roman" w:hAnsi="Times New Roman" w:cs="Times New Roman"/>
          <w:sz w:val="24"/>
          <w:szCs w:val="24"/>
        </w:rPr>
        <w:t>ce for the hip replacement</w:t>
      </w:r>
      <w:r w:rsidR="00B570DD">
        <w:rPr>
          <w:rFonts w:ascii="Times New Roman" w:hAnsi="Times New Roman" w:cs="Times New Roman"/>
          <w:sz w:val="24"/>
          <w:szCs w:val="24"/>
        </w:rPr>
        <w:t xml:space="preserve"> implant</w:t>
      </w:r>
      <w:r w:rsidR="007C0B2E">
        <w:rPr>
          <w:rFonts w:ascii="Times New Roman" w:hAnsi="Times New Roman" w:cs="Times New Roman"/>
          <w:sz w:val="24"/>
          <w:szCs w:val="24"/>
        </w:rPr>
        <w:t xml:space="preserve"> (ASR </w:t>
      </w:r>
      <w:r>
        <w:rPr>
          <w:rFonts w:ascii="Times New Roman" w:hAnsi="Times New Roman" w:cs="Times New Roman"/>
          <w:sz w:val="24"/>
          <w:szCs w:val="24"/>
        </w:rPr>
        <w:t>XL).  Depuy also claims that the court further abused its discretion by allowing Dr. Trotsky’s testimony which they claim was unqualified as e</w:t>
      </w:r>
      <w:r w:rsidR="00B570DD">
        <w:rPr>
          <w:rFonts w:ascii="Times New Roman" w:hAnsi="Times New Roman" w:cs="Times New Roman"/>
          <w:sz w:val="24"/>
          <w:szCs w:val="24"/>
        </w:rPr>
        <w:t>xpert witness testimony.  A second issue with witness testimony is</w:t>
      </w:r>
      <w:r>
        <w:rPr>
          <w:rFonts w:ascii="Times New Roman" w:hAnsi="Times New Roman" w:cs="Times New Roman"/>
          <w:sz w:val="24"/>
          <w:szCs w:val="24"/>
        </w:rPr>
        <w:t xml:space="preserve"> Dr. Swenson’s testimony regarding his experie</w:t>
      </w:r>
      <w:r w:rsidR="001E04B3">
        <w:rPr>
          <w:rFonts w:ascii="Times New Roman" w:hAnsi="Times New Roman" w:cs="Times New Roman"/>
          <w:sz w:val="24"/>
          <w:szCs w:val="24"/>
        </w:rPr>
        <w:t>nce with the ASR XL</w:t>
      </w:r>
      <w:r>
        <w:rPr>
          <w:rFonts w:ascii="Times New Roman" w:hAnsi="Times New Roman" w:cs="Times New Roman"/>
          <w:sz w:val="24"/>
          <w:szCs w:val="24"/>
        </w:rPr>
        <w:t xml:space="preserve"> </w:t>
      </w:r>
      <w:r w:rsidR="002D0682">
        <w:rPr>
          <w:rFonts w:ascii="Times New Roman" w:hAnsi="Times New Roman" w:cs="Times New Roman"/>
          <w:sz w:val="24"/>
          <w:szCs w:val="24"/>
        </w:rPr>
        <w:t xml:space="preserve">which Depuy claims </w:t>
      </w:r>
      <w:r>
        <w:rPr>
          <w:rFonts w:ascii="Times New Roman" w:hAnsi="Times New Roman" w:cs="Times New Roman"/>
          <w:sz w:val="24"/>
          <w:szCs w:val="24"/>
        </w:rPr>
        <w:t xml:space="preserve">was </w:t>
      </w:r>
      <w:r>
        <w:rPr>
          <w:rFonts w:ascii="Times New Roman" w:hAnsi="Times New Roman" w:cs="Times New Roman"/>
          <w:sz w:val="24"/>
          <w:szCs w:val="24"/>
        </w:rPr>
        <w:lastRenderedPageBreak/>
        <w:t xml:space="preserve">a surprise to them at trial and it was </w:t>
      </w:r>
      <w:r w:rsidR="000B28A7">
        <w:rPr>
          <w:rFonts w:ascii="Times New Roman" w:hAnsi="Times New Roman" w:cs="Times New Roman"/>
          <w:sz w:val="24"/>
          <w:szCs w:val="24"/>
        </w:rPr>
        <w:t xml:space="preserve">unqualified, </w:t>
      </w:r>
      <w:r>
        <w:rPr>
          <w:rFonts w:ascii="Times New Roman" w:hAnsi="Times New Roman" w:cs="Times New Roman"/>
          <w:sz w:val="24"/>
          <w:szCs w:val="24"/>
        </w:rPr>
        <w:t>anecdotal evidence.</w:t>
      </w:r>
      <w:r w:rsidR="003672B0">
        <w:rPr>
          <w:rFonts w:ascii="Times New Roman" w:hAnsi="Times New Roman" w:cs="Times New Roman"/>
          <w:sz w:val="24"/>
          <w:szCs w:val="24"/>
        </w:rPr>
        <w:t xml:space="preserve">  Furthermo</w:t>
      </w:r>
      <w:r w:rsidR="002D0682">
        <w:rPr>
          <w:rFonts w:ascii="Times New Roman" w:hAnsi="Times New Roman" w:cs="Times New Roman"/>
          <w:sz w:val="24"/>
          <w:szCs w:val="24"/>
        </w:rPr>
        <w:t>re, Depuy challenges</w:t>
      </w:r>
      <w:r w:rsidR="003672B0">
        <w:rPr>
          <w:rFonts w:ascii="Times New Roman" w:hAnsi="Times New Roman" w:cs="Times New Roman"/>
          <w:sz w:val="24"/>
          <w:szCs w:val="24"/>
        </w:rPr>
        <w:t xml:space="preserve"> that causation cannot be proven </w:t>
      </w:r>
      <w:r w:rsidR="009935AF">
        <w:rPr>
          <w:rFonts w:ascii="Times New Roman" w:hAnsi="Times New Roman" w:cs="Times New Roman"/>
          <w:sz w:val="24"/>
          <w:szCs w:val="24"/>
        </w:rPr>
        <w:t>because</w:t>
      </w:r>
      <w:r w:rsidR="003672B0">
        <w:rPr>
          <w:rFonts w:ascii="Times New Roman" w:hAnsi="Times New Roman" w:cs="Times New Roman"/>
          <w:sz w:val="24"/>
          <w:szCs w:val="24"/>
        </w:rPr>
        <w:t xml:space="preserve"> there was not enough evidence to link the injury suffered to the hip replacement, the jury’s verdict was inconsistent</w:t>
      </w:r>
      <w:r w:rsidR="00370805">
        <w:rPr>
          <w:rFonts w:ascii="Times New Roman" w:hAnsi="Times New Roman" w:cs="Times New Roman"/>
          <w:sz w:val="24"/>
          <w:szCs w:val="24"/>
        </w:rPr>
        <w:t>,</w:t>
      </w:r>
      <w:r w:rsidR="003672B0">
        <w:rPr>
          <w:rFonts w:ascii="Times New Roman" w:hAnsi="Times New Roman" w:cs="Times New Roman"/>
          <w:sz w:val="24"/>
          <w:szCs w:val="24"/>
        </w:rPr>
        <w:t xml:space="preserve"> and the award was excessive.</w:t>
      </w:r>
    </w:p>
    <w:p w:rsidR="00945159" w:rsidRPr="00354DB1" w:rsidRDefault="00945159" w:rsidP="00A9480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Laws</w:t>
      </w:r>
      <w:r w:rsidRPr="000A697C">
        <w:rPr>
          <w:rFonts w:ascii="Times New Roman" w:eastAsia="Times New Roman" w:hAnsi="Times New Roman" w:cs="Times New Roman"/>
          <w:b/>
          <w:sz w:val="24"/>
          <w:szCs w:val="24"/>
          <w:u w:val="single"/>
        </w:rPr>
        <w:t>:</w:t>
      </w:r>
    </w:p>
    <w:p w:rsidR="005403AC" w:rsidRPr="008D77B5" w:rsidRDefault="008D77B5" w:rsidP="00C07A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Whether or not the hip replacement in this case was defective was not called into question.  Depuy had issued a voluntary recall of the product in 2010 before the FDA </w:t>
      </w:r>
      <w:r w:rsidR="00C07A72">
        <w:rPr>
          <w:rFonts w:ascii="Times New Roman" w:hAnsi="Times New Roman" w:cs="Times New Roman"/>
          <w:sz w:val="24"/>
          <w:szCs w:val="24"/>
        </w:rPr>
        <w:t>could step</w:t>
      </w:r>
      <w:r>
        <w:rPr>
          <w:rFonts w:ascii="Times New Roman" w:hAnsi="Times New Roman" w:cs="Times New Roman"/>
          <w:sz w:val="24"/>
          <w:szCs w:val="24"/>
        </w:rPr>
        <w:t xml:space="preserve"> in. This is a case of strict liability in </w:t>
      </w:r>
      <w:r w:rsidR="002D5D88">
        <w:rPr>
          <w:rFonts w:ascii="Times New Roman" w:hAnsi="Times New Roman" w:cs="Times New Roman"/>
          <w:sz w:val="24"/>
          <w:szCs w:val="24"/>
        </w:rPr>
        <w:t xml:space="preserve">tort.  </w:t>
      </w:r>
      <w:r>
        <w:rPr>
          <w:rFonts w:ascii="Times New Roman" w:hAnsi="Times New Roman" w:cs="Times New Roman"/>
          <w:sz w:val="24"/>
          <w:szCs w:val="24"/>
        </w:rPr>
        <w:t>According to Kubasek et al</w:t>
      </w:r>
      <w:r w:rsidR="003550F9">
        <w:rPr>
          <w:rFonts w:ascii="Times New Roman" w:hAnsi="Times New Roman" w:cs="Times New Roman"/>
          <w:sz w:val="24"/>
          <w:szCs w:val="24"/>
        </w:rPr>
        <w:t>. (2015)</w:t>
      </w:r>
      <w:r>
        <w:rPr>
          <w:rFonts w:ascii="Times New Roman" w:hAnsi="Times New Roman" w:cs="Times New Roman"/>
          <w:sz w:val="24"/>
          <w:szCs w:val="24"/>
        </w:rPr>
        <w:t xml:space="preserve"> “</w:t>
      </w:r>
      <w:r w:rsidRPr="008D77B5">
        <w:rPr>
          <w:rFonts w:ascii="Times New Roman" w:hAnsi="Times New Roman" w:cs="Times New Roman"/>
          <w:sz w:val="24"/>
          <w:szCs w:val="24"/>
        </w:rPr>
        <w:t>Unlike causes of action based on negligence or, to a lesser degree, breach of warranty, product liability actions based on strict liability in tort focus on the product, not on the producer or seller. The degree of care exercised by the defendant is not an issue in these cases. The issue in such cases is whether the product was in a “defective condition, unreasonably dangerous” when sold.</w:t>
      </w:r>
      <w:r w:rsidR="003550F9">
        <w:rPr>
          <w:rFonts w:ascii="Times New Roman" w:hAnsi="Times New Roman" w:cs="Times New Roman"/>
          <w:sz w:val="24"/>
          <w:szCs w:val="24"/>
        </w:rPr>
        <w:t>” (</w:t>
      </w:r>
      <w:r>
        <w:rPr>
          <w:rFonts w:ascii="Times New Roman" w:hAnsi="Times New Roman" w:cs="Times New Roman"/>
          <w:sz w:val="24"/>
          <w:szCs w:val="24"/>
        </w:rPr>
        <w:t>p.334)</w:t>
      </w:r>
    </w:p>
    <w:p w:rsidR="005403AC" w:rsidRPr="002D5D88" w:rsidRDefault="00811CAF" w:rsidP="00C07A72">
      <w:pPr>
        <w:spacing w:line="480" w:lineRule="auto"/>
        <w:ind w:firstLine="720"/>
        <w:rPr>
          <w:rFonts w:ascii="Times New Roman" w:hAnsi="Times New Roman" w:cs="Times New Roman"/>
          <w:sz w:val="24"/>
          <w:szCs w:val="24"/>
        </w:rPr>
      </w:pPr>
      <w:r w:rsidRPr="007274FE">
        <w:rPr>
          <w:rFonts w:ascii="Times New Roman" w:hAnsi="Times New Roman" w:cs="Times New Roman"/>
          <w:sz w:val="24"/>
          <w:szCs w:val="24"/>
        </w:rPr>
        <w:t>Regarding</w:t>
      </w:r>
      <w:r w:rsidR="002636D2">
        <w:rPr>
          <w:rFonts w:ascii="Times New Roman" w:hAnsi="Times New Roman" w:cs="Times New Roman"/>
          <w:sz w:val="24"/>
          <w:szCs w:val="24"/>
        </w:rPr>
        <w:t xml:space="preserve"> Depuy’s </w:t>
      </w:r>
      <w:r w:rsidRPr="007274FE">
        <w:rPr>
          <w:rFonts w:ascii="Times New Roman" w:hAnsi="Times New Roman" w:cs="Times New Roman"/>
          <w:sz w:val="24"/>
          <w:szCs w:val="24"/>
        </w:rPr>
        <w:t xml:space="preserve">claim that FDA approval and compliance was not </w:t>
      </w:r>
      <w:r w:rsidR="00341032">
        <w:rPr>
          <w:rFonts w:ascii="Times New Roman" w:hAnsi="Times New Roman" w:cs="Times New Roman"/>
          <w:sz w:val="24"/>
          <w:szCs w:val="24"/>
        </w:rPr>
        <w:t xml:space="preserve">allowed to be </w:t>
      </w:r>
      <w:r w:rsidRPr="007274FE">
        <w:rPr>
          <w:rFonts w:ascii="Times New Roman" w:hAnsi="Times New Roman" w:cs="Times New Roman"/>
          <w:sz w:val="24"/>
          <w:szCs w:val="24"/>
        </w:rPr>
        <w:t>admitted as evidence</w:t>
      </w:r>
      <w:r w:rsidR="002D5D88">
        <w:rPr>
          <w:rFonts w:ascii="Times New Roman" w:hAnsi="Times New Roman" w:cs="Times New Roman"/>
          <w:sz w:val="24"/>
          <w:szCs w:val="24"/>
        </w:rPr>
        <w:t>,</w:t>
      </w:r>
      <w:r w:rsidRPr="007274FE">
        <w:rPr>
          <w:rFonts w:ascii="Times New Roman" w:hAnsi="Times New Roman" w:cs="Times New Roman"/>
          <w:sz w:val="24"/>
          <w:szCs w:val="24"/>
        </w:rPr>
        <w:t xml:space="preserve"> the court can rely on Montana</w:t>
      </w:r>
      <w:r w:rsidR="007274FE" w:rsidRPr="007274FE">
        <w:rPr>
          <w:rFonts w:ascii="Times New Roman" w:hAnsi="Times New Roman" w:cs="Times New Roman"/>
          <w:sz w:val="24"/>
          <w:szCs w:val="24"/>
        </w:rPr>
        <w:t xml:space="preserve"> case</w:t>
      </w:r>
      <w:r w:rsidRPr="007274FE">
        <w:rPr>
          <w:rFonts w:ascii="Times New Roman" w:hAnsi="Times New Roman" w:cs="Times New Roman"/>
          <w:sz w:val="24"/>
          <w:szCs w:val="24"/>
        </w:rPr>
        <w:t xml:space="preserve"> law as stating “</w:t>
      </w:r>
      <w:r w:rsidR="004341BA" w:rsidRPr="007274FE">
        <w:rPr>
          <w:rFonts w:ascii="Times New Roman" w:hAnsi="Times New Roman" w:cs="Times New Roman"/>
          <w:sz w:val="24"/>
          <w:szCs w:val="24"/>
          <w:lang w:val="en"/>
        </w:rPr>
        <w:t xml:space="preserve">a manufacturer's compliance with product safety regulations is irrelevant and inadmissible on the question of the product's defectiveness. . . ." </w:t>
      </w:r>
      <w:r w:rsidR="004341BA" w:rsidRPr="002D5D88">
        <w:rPr>
          <w:rFonts w:ascii="Times New Roman" w:hAnsi="Times New Roman" w:cs="Times New Roman"/>
          <w:sz w:val="24"/>
          <w:szCs w:val="24"/>
          <w:lang w:val="en"/>
        </w:rPr>
        <w:t>(</w:t>
      </w:r>
      <w:r w:rsidR="004341BA" w:rsidRPr="002D5D88">
        <w:rPr>
          <w:rFonts w:ascii="Times New Roman" w:hAnsi="Times New Roman" w:cs="Times New Roman"/>
          <w:iCs/>
          <w:sz w:val="24"/>
          <w:szCs w:val="24"/>
          <w:lang w:val="en"/>
        </w:rPr>
        <w:t>Speaks v. Mazda Motor Corp.</w:t>
      </w:r>
      <w:r w:rsidR="004341BA" w:rsidRPr="002D5D88">
        <w:rPr>
          <w:rFonts w:ascii="Times New Roman" w:hAnsi="Times New Roman" w:cs="Times New Roman"/>
          <w:sz w:val="24"/>
          <w:szCs w:val="24"/>
          <w:lang w:val="en"/>
        </w:rPr>
        <w:t xml:space="preserve"> (D. Mont. 2015) 118 F.Supp.3d 1212, 1225</w:t>
      </w:r>
      <w:r w:rsidR="00341032" w:rsidRPr="002D5D88">
        <w:rPr>
          <w:rFonts w:ascii="Times New Roman" w:hAnsi="Times New Roman" w:cs="Times New Roman"/>
          <w:sz w:val="24"/>
          <w:szCs w:val="24"/>
          <w:lang w:val="en"/>
        </w:rPr>
        <w:t>.</w:t>
      </w:r>
    </w:p>
    <w:p w:rsidR="00EA58FE" w:rsidRPr="005403AC" w:rsidRDefault="00EA58FE" w:rsidP="00A94809">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Holding</w:t>
      </w:r>
      <w:r w:rsidRPr="005403AC">
        <w:rPr>
          <w:rFonts w:ascii="Times New Roman" w:hAnsi="Times New Roman" w:cs="Times New Roman"/>
          <w:b/>
          <w:sz w:val="24"/>
          <w:szCs w:val="24"/>
          <w:u w:val="single"/>
        </w:rPr>
        <w:t>:</w:t>
      </w:r>
    </w:p>
    <w:p w:rsidR="005403AC" w:rsidRDefault="00A94809" w:rsidP="00A94809">
      <w:pPr>
        <w:spacing w:line="480" w:lineRule="auto"/>
        <w:rPr>
          <w:rFonts w:ascii="Times New Roman" w:hAnsi="Times New Roman" w:cs="Times New Roman"/>
          <w:sz w:val="24"/>
          <w:szCs w:val="24"/>
        </w:rPr>
      </w:pPr>
      <w:r>
        <w:rPr>
          <w:rFonts w:ascii="Times New Roman" w:hAnsi="Times New Roman" w:cs="Times New Roman"/>
          <w:sz w:val="24"/>
          <w:szCs w:val="24"/>
        </w:rPr>
        <w:t>In 2016</w:t>
      </w:r>
      <w:r w:rsidR="007C0B2E">
        <w:rPr>
          <w:rFonts w:ascii="Times New Roman" w:hAnsi="Times New Roman" w:cs="Times New Roman"/>
          <w:sz w:val="24"/>
          <w:szCs w:val="24"/>
        </w:rPr>
        <w:t xml:space="preserve">, </w:t>
      </w:r>
      <w:r>
        <w:rPr>
          <w:rFonts w:ascii="Times New Roman" w:hAnsi="Times New Roman" w:cs="Times New Roman"/>
          <w:sz w:val="24"/>
          <w:szCs w:val="24"/>
        </w:rPr>
        <w:t>in the court of appeals in California, the o</w:t>
      </w:r>
      <w:r w:rsidR="00E210E5">
        <w:rPr>
          <w:rFonts w:ascii="Times New Roman" w:hAnsi="Times New Roman" w:cs="Times New Roman"/>
          <w:sz w:val="24"/>
          <w:szCs w:val="24"/>
        </w:rPr>
        <w:t>riginal jury decision was affirmed</w:t>
      </w:r>
      <w:r>
        <w:rPr>
          <w:rFonts w:ascii="Times New Roman" w:hAnsi="Times New Roman" w:cs="Times New Roman"/>
          <w:sz w:val="24"/>
          <w:szCs w:val="24"/>
        </w:rPr>
        <w:t>.</w:t>
      </w:r>
    </w:p>
    <w:p w:rsidR="00050736" w:rsidRDefault="00050736" w:rsidP="00A94809">
      <w:pPr>
        <w:spacing w:line="480" w:lineRule="auto"/>
        <w:rPr>
          <w:rFonts w:ascii="Times New Roman" w:hAnsi="Times New Roman" w:cs="Times New Roman"/>
          <w:b/>
          <w:sz w:val="24"/>
          <w:szCs w:val="24"/>
          <w:u w:val="single"/>
        </w:rPr>
      </w:pPr>
    </w:p>
    <w:p w:rsidR="00050736" w:rsidRDefault="00050736" w:rsidP="00A94809">
      <w:pPr>
        <w:spacing w:line="480" w:lineRule="auto"/>
        <w:rPr>
          <w:rFonts w:ascii="Times New Roman" w:hAnsi="Times New Roman" w:cs="Times New Roman"/>
          <w:b/>
          <w:sz w:val="24"/>
          <w:szCs w:val="24"/>
          <w:u w:val="single"/>
        </w:rPr>
      </w:pPr>
    </w:p>
    <w:p w:rsidR="005403AC" w:rsidRDefault="005403AC" w:rsidP="00A94809">
      <w:pPr>
        <w:spacing w:line="480" w:lineRule="auto"/>
        <w:rPr>
          <w:rFonts w:ascii="Times New Roman" w:hAnsi="Times New Roman" w:cs="Times New Roman"/>
          <w:b/>
          <w:sz w:val="24"/>
          <w:szCs w:val="24"/>
          <w:u w:val="single"/>
        </w:rPr>
      </w:pPr>
      <w:r w:rsidRPr="005403AC">
        <w:rPr>
          <w:rFonts w:ascii="Times New Roman" w:hAnsi="Times New Roman" w:cs="Times New Roman"/>
          <w:b/>
          <w:sz w:val="24"/>
          <w:szCs w:val="24"/>
          <w:u w:val="single"/>
        </w:rPr>
        <w:lastRenderedPageBreak/>
        <w:t>Reasoning:</w:t>
      </w:r>
    </w:p>
    <w:p w:rsidR="00A94809" w:rsidRDefault="00194439" w:rsidP="007C0B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of the claims </w:t>
      </w:r>
      <w:r w:rsidR="004E3E90">
        <w:rPr>
          <w:rFonts w:ascii="Times New Roman" w:hAnsi="Times New Roman" w:cs="Times New Roman"/>
          <w:sz w:val="24"/>
          <w:szCs w:val="24"/>
        </w:rPr>
        <w:t xml:space="preserve">brought forth in the appeal </w:t>
      </w:r>
      <w:r>
        <w:rPr>
          <w:rFonts w:ascii="Times New Roman" w:hAnsi="Times New Roman" w:cs="Times New Roman"/>
          <w:sz w:val="24"/>
          <w:szCs w:val="24"/>
        </w:rPr>
        <w:t xml:space="preserve">by Depuy were struck down by the court.  </w:t>
      </w:r>
      <w:r w:rsidR="00A94809">
        <w:rPr>
          <w:rFonts w:ascii="Times New Roman" w:hAnsi="Times New Roman" w:cs="Times New Roman"/>
          <w:sz w:val="24"/>
          <w:szCs w:val="24"/>
        </w:rPr>
        <w:t>The defendant want</w:t>
      </w:r>
      <w:r w:rsidR="00B60474">
        <w:rPr>
          <w:rFonts w:ascii="Times New Roman" w:hAnsi="Times New Roman" w:cs="Times New Roman"/>
          <w:sz w:val="24"/>
          <w:szCs w:val="24"/>
        </w:rPr>
        <w:t>ed</w:t>
      </w:r>
      <w:r w:rsidR="00A94809">
        <w:rPr>
          <w:rFonts w:ascii="Times New Roman" w:hAnsi="Times New Roman" w:cs="Times New Roman"/>
          <w:sz w:val="24"/>
          <w:szCs w:val="24"/>
        </w:rPr>
        <w:t xml:space="preserve"> the FDA approval process to be included in testimony</w:t>
      </w:r>
      <w:r w:rsidR="0015037F">
        <w:rPr>
          <w:rFonts w:ascii="Times New Roman" w:hAnsi="Times New Roman" w:cs="Times New Roman"/>
          <w:sz w:val="24"/>
          <w:szCs w:val="24"/>
        </w:rPr>
        <w:t xml:space="preserve"> to help prove compliance</w:t>
      </w:r>
      <w:r w:rsidR="00A94809">
        <w:rPr>
          <w:rFonts w:ascii="Times New Roman" w:hAnsi="Times New Roman" w:cs="Times New Roman"/>
          <w:sz w:val="24"/>
          <w:szCs w:val="24"/>
        </w:rPr>
        <w:t>.  FDA clearance testimony was excluded on</w:t>
      </w:r>
      <w:r w:rsidR="000B5183">
        <w:rPr>
          <w:rFonts w:ascii="Times New Roman" w:hAnsi="Times New Roman" w:cs="Times New Roman"/>
          <w:sz w:val="24"/>
          <w:szCs w:val="24"/>
        </w:rPr>
        <w:t xml:space="preserve"> the basis that it would have been</w:t>
      </w:r>
      <w:r>
        <w:rPr>
          <w:rFonts w:ascii="Times New Roman" w:hAnsi="Times New Roman" w:cs="Times New Roman"/>
          <w:sz w:val="24"/>
          <w:szCs w:val="24"/>
        </w:rPr>
        <w:t xml:space="preserve"> too cumbersome</w:t>
      </w:r>
      <w:r w:rsidR="00A94809">
        <w:rPr>
          <w:rFonts w:ascii="Times New Roman" w:hAnsi="Times New Roman" w:cs="Times New Roman"/>
          <w:sz w:val="24"/>
          <w:szCs w:val="24"/>
        </w:rPr>
        <w:t xml:space="preserve"> </w:t>
      </w:r>
      <w:r w:rsidR="00A71857">
        <w:rPr>
          <w:rFonts w:ascii="Times New Roman" w:hAnsi="Times New Roman" w:cs="Times New Roman"/>
          <w:sz w:val="24"/>
          <w:szCs w:val="24"/>
        </w:rPr>
        <w:t xml:space="preserve">and complicated </w:t>
      </w:r>
      <w:r w:rsidR="00A94809">
        <w:rPr>
          <w:rFonts w:ascii="Times New Roman" w:hAnsi="Times New Roman" w:cs="Times New Roman"/>
          <w:sz w:val="24"/>
          <w:szCs w:val="24"/>
        </w:rPr>
        <w:t>for the ju</w:t>
      </w:r>
      <w:r w:rsidR="004341BA">
        <w:rPr>
          <w:rFonts w:ascii="Times New Roman" w:hAnsi="Times New Roman" w:cs="Times New Roman"/>
          <w:sz w:val="24"/>
          <w:szCs w:val="24"/>
        </w:rPr>
        <w:t>ry to understand and would have been of little</w:t>
      </w:r>
      <w:r>
        <w:rPr>
          <w:rFonts w:ascii="Times New Roman" w:hAnsi="Times New Roman" w:cs="Times New Roman"/>
          <w:sz w:val="24"/>
          <w:szCs w:val="24"/>
        </w:rPr>
        <w:t xml:space="preserve"> value in proving or disproving the case.</w:t>
      </w:r>
      <w:r w:rsidR="00C07A72">
        <w:rPr>
          <w:rFonts w:ascii="Times New Roman" w:hAnsi="Times New Roman" w:cs="Times New Roman"/>
          <w:sz w:val="24"/>
          <w:szCs w:val="24"/>
        </w:rPr>
        <w:t xml:space="preserve">  It was also irrelevant under Montana law.</w:t>
      </w:r>
    </w:p>
    <w:p w:rsidR="00586056" w:rsidRDefault="00A94809" w:rsidP="000B51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Trotsky’s </w:t>
      </w:r>
      <w:r w:rsidR="0057722E">
        <w:rPr>
          <w:rFonts w:ascii="Times New Roman" w:hAnsi="Times New Roman" w:cs="Times New Roman"/>
          <w:sz w:val="24"/>
          <w:szCs w:val="24"/>
        </w:rPr>
        <w:t>and Dr. Swenson’s</w:t>
      </w:r>
      <w:r w:rsidR="0014074D">
        <w:rPr>
          <w:rFonts w:ascii="Times New Roman" w:hAnsi="Times New Roman" w:cs="Times New Roman"/>
          <w:sz w:val="24"/>
          <w:szCs w:val="24"/>
        </w:rPr>
        <w:t xml:space="preserve"> </w:t>
      </w:r>
      <w:r>
        <w:rPr>
          <w:rFonts w:ascii="Times New Roman" w:hAnsi="Times New Roman" w:cs="Times New Roman"/>
          <w:sz w:val="24"/>
          <w:szCs w:val="24"/>
        </w:rPr>
        <w:t>expert witness testimony</w:t>
      </w:r>
      <w:r w:rsidR="0057722E">
        <w:rPr>
          <w:rFonts w:ascii="Times New Roman" w:hAnsi="Times New Roman" w:cs="Times New Roman"/>
          <w:sz w:val="24"/>
          <w:szCs w:val="24"/>
        </w:rPr>
        <w:t xml:space="preserve"> was not thrown out based on</w:t>
      </w:r>
      <w:r w:rsidR="00586056">
        <w:rPr>
          <w:rFonts w:ascii="Times New Roman" w:hAnsi="Times New Roman" w:cs="Times New Roman"/>
          <w:sz w:val="24"/>
          <w:szCs w:val="24"/>
        </w:rPr>
        <w:t xml:space="preserve"> their levels of</w:t>
      </w:r>
      <w:r>
        <w:rPr>
          <w:rFonts w:ascii="Times New Roman" w:hAnsi="Times New Roman" w:cs="Times New Roman"/>
          <w:sz w:val="24"/>
          <w:szCs w:val="24"/>
        </w:rPr>
        <w:t xml:space="preserve"> skill and </w:t>
      </w:r>
      <w:r w:rsidR="0057722E" w:rsidRPr="000B28A7">
        <w:rPr>
          <w:rFonts w:ascii="Times New Roman" w:hAnsi="Times New Roman" w:cs="Times New Roman"/>
          <w:sz w:val="24"/>
          <w:szCs w:val="24"/>
        </w:rPr>
        <w:t>training.  It was upheld that the doctors</w:t>
      </w:r>
      <w:r w:rsidR="00A71857">
        <w:rPr>
          <w:rFonts w:ascii="Times New Roman" w:hAnsi="Times New Roman" w:cs="Times New Roman"/>
          <w:sz w:val="24"/>
          <w:szCs w:val="24"/>
        </w:rPr>
        <w:t xml:space="preserve"> were</w:t>
      </w:r>
      <w:r w:rsidRPr="000B28A7">
        <w:rPr>
          <w:rFonts w:ascii="Times New Roman" w:hAnsi="Times New Roman" w:cs="Times New Roman"/>
          <w:sz w:val="24"/>
          <w:szCs w:val="24"/>
        </w:rPr>
        <w:t xml:space="preserve"> able to give </w:t>
      </w:r>
      <w:r w:rsidR="0057722E" w:rsidRPr="000B28A7">
        <w:rPr>
          <w:rFonts w:ascii="Times New Roman" w:hAnsi="Times New Roman" w:cs="Times New Roman"/>
          <w:sz w:val="24"/>
          <w:szCs w:val="24"/>
        </w:rPr>
        <w:t>expert witness</w:t>
      </w:r>
      <w:r w:rsidRPr="000B28A7">
        <w:rPr>
          <w:rFonts w:ascii="Times New Roman" w:hAnsi="Times New Roman" w:cs="Times New Roman"/>
          <w:sz w:val="24"/>
          <w:szCs w:val="24"/>
        </w:rPr>
        <w:t xml:space="preserve"> testimony</w:t>
      </w:r>
      <w:r w:rsidR="0015037F" w:rsidRPr="000B28A7">
        <w:rPr>
          <w:rFonts w:ascii="Times New Roman" w:hAnsi="Times New Roman" w:cs="Times New Roman"/>
          <w:sz w:val="24"/>
          <w:szCs w:val="24"/>
        </w:rPr>
        <w:t>.</w:t>
      </w:r>
      <w:r w:rsidR="0014074D" w:rsidRPr="000B28A7">
        <w:rPr>
          <w:rFonts w:ascii="Times New Roman" w:hAnsi="Times New Roman" w:cs="Times New Roman"/>
          <w:sz w:val="24"/>
          <w:szCs w:val="24"/>
        </w:rPr>
        <w:t xml:space="preserve">  </w:t>
      </w:r>
    </w:p>
    <w:p w:rsidR="000B28A7" w:rsidRPr="000B28A7" w:rsidRDefault="0014074D" w:rsidP="000B5183">
      <w:pPr>
        <w:spacing w:line="480" w:lineRule="auto"/>
        <w:ind w:firstLine="720"/>
        <w:rPr>
          <w:rFonts w:ascii="Times New Roman" w:hAnsi="Times New Roman" w:cs="Times New Roman"/>
          <w:sz w:val="24"/>
          <w:szCs w:val="24"/>
          <w:lang w:val="en"/>
        </w:rPr>
      </w:pPr>
      <w:r w:rsidRPr="000B28A7">
        <w:rPr>
          <w:rFonts w:ascii="Times New Roman" w:hAnsi="Times New Roman" w:cs="Times New Roman"/>
          <w:sz w:val="24"/>
          <w:szCs w:val="24"/>
        </w:rPr>
        <w:t xml:space="preserve">The court also upheld the verdict by the jury that causation could be shown between Mr. Kransky’s injury and the </w:t>
      </w:r>
      <w:r w:rsidR="00C07A72">
        <w:rPr>
          <w:rFonts w:ascii="Times New Roman" w:hAnsi="Times New Roman" w:cs="Times New Roman"/>
          <w:sz w:val="24"/>
          <w:szCs w:val="24"/>
        </w:rPr>
        <w:t>defective hip implant</w:t>
      </w:r>
      <w:r w:rsidR="004C6267">
        <w:rPr>
          <w:rFonts w:ascii="Times New Roman" w:hAnsi="Times New Roman" w:cs="Times New Roman"/>
          <w:sz w:val="24"/>
          <w:szCs w:val="24"/>
        </w:rPr>
        <w:t xml:space="preserve">. </w:t>
      </w:r>
      <w:r w:rsidR="000B28A7">
        <w:rPr>
          <w:rFonts w:ascii="Times New Roman" w:hAnsi="Times New Roman" w:cs="Times New Roman"/>
          <w:sz w:val="24"/>
          <w:szCs w:val="24"/>
          <w:lang w:val="en"/>
        </w:rPr>
        <w:t>The court dismissed Depuy’</w:t>
      </w:r>
      <w:r w:rsidR="00912A90">
        <w:rPr>
          <w:rFonts w:ascii="Times New Roman" w:hAnsi="Times New Roman" w:cs="Times New Roman"/>
          <w:sz w:val="24"/>
          <w:szCs w:val="24"/>
          <w:lang w:val="en"/>
        </w:rPr>
        <w:t>s claim</w:t>
      </w:r>
      <w:r w:rsidR="000B28A7">
        <w:rPr>
          <w:rFonts w:ascii="Times New Roman" w:hAnsi="Times New Roman" w:cs="Times New Roman"/>
          <w:sz w:val="24"/>
          <w:szCs w:val="24"/>
          <w:lang w:val="en"/>
        </w:rPr>
        <w:t xml:space="preserve"> that the jury’s verdict was inconsistent based on the finding that there was no negligence but</w:t>
      </w:r>
      <w:r w:rsidR="00C07A72">
        <w:rPr>
          <w:rFonts w:ascii="Times New Roman" w:hAnsi="Times New Roman" w:cs="Times New Roman"/>
          <w:sz w:val="24"/>
          <w:szCs w:val="24"/>
          <w:lang w:val="en"/>
        </w:rPr>
        <w:t xml:space="preserve"> that</w:t>
      </w:r>
      <w:r w:rsidR="000B28A7">
        <w:rPr>
          <w:rFonts w:ascii="Times New Roman" w:hAnsi="Times New Roman" w:cs="Times New Roman"/>
          <w:sz w:val="24"/>
          <w:szCs w:val="24"/>
          <w:lang w:val="en"/>
        </w:rPr>
        <w:t xml:space="preserve"> the product was defective based on strict liability</w:t>
      </w:r>
      <w:r w:rsidR="00912A90">
        <w:rPr>
          <w:rFonts w:ascii="Times New Roman" w:hAnsi="Times New Roman" w:cs="Times New Roman"/>
          <w:sz w:val="24"/>
          <w:szCs w:val="24"/>
          <w:lang w:val="en"/>
        </w:rPr>
        <w:t xml:space="preserve">.  However, because there was evidence of causation the court did not find that the jury’s ruling was inconsistent.  Finally, on the claim excessive damages, in the court’s opinion </w:t>
      </w:r>
      <w:r w:rsidR="004C6267">
        <w:rPr>
          <w:rFonts w:ascii="Times New Roman" w:hAnsi="Times New Roman" w:cs="Times New Roman"/>
          <w:sz w:val="24"/>
          <w:szCs w:val="24"/>
          <w:lang w:val="en"/>
        </w:rPr>
        <w:t xml:space="preserve">it </w:t>
      </w:r>
      <w:r w:rsidR="00912A90">
        <w:rPr>
          <w:rFonts w:ascii="Times New Roman" w:hAnsi="Times New Roman" w:cs="Times New Roman"/>
          <w:sz w:val="24"/>
          <w:szCs w:val="24"/>
          <w:lang w:val="en"/>
        </w:rPr>
        <w:t>was not disproportionate to the amount of pai</w:t>
      </w:r>
      <w:r w:rsidR="00C07A72">
        <w:rPr>
          <w:rFonts w:ascii="Times New Roman" w:hAnsi="Times New Roman" w:cs="Times New Roman"/>
          <w:sz w:val="24"/>
          <w:szCs w:val="24"/>
          <w:lang w:val="en"/>
        </w:rPr>
        <w:t>n and suffering caused</w:t>
      </w:r>
      <w:r w:rsidR="00912A90">
        <w:rPr>
          <w:rFonts w:ascii="Times New Roman" w:hAnsi="Times New Roman" w:cs="Times New Roman"/>
          <w:sz w:val="24"/>
          <w:szCs w:val="24"/>
          <w:lang w:val="en"/>
        </w:rPr>
        <w:t>.</w:t>
      </w:r>
    </w:p>
    <w:p w:rsidR="007540D5" w:rsidRDefault="007540D5" w:rsidP="00A94809">
      <w:pPr>
        <w:spacing w:line="480" w:lineRule="auto"/>
        <w:rPr>
          <w:rFonts w:ascii="Times New Roman" w:hAnsi="Times New Roman" w:cs="Times New Roman"/>
          <w:b/>
          <w:sz w:val="24"/>
          <w:szCs w:val="24"/>
          <w:u w:val="single"/>
        </w:rPr>
      </w:pPr>
      <w:r w:rsidRPr="007540D5">
        <w:rPr>
          <w:rFonts w:ascii="Times New Roman" w:hAnsi="Times New Roman" w:cs="Times New Roman"/>
          <w:b/>
          <w:sz w:val="24"/>
          <w:szCs w:val="24"/>
          <w:u w:val="single"/>
        </w:rPr>
        <w:t>Conclusion:</w:t>
      </w:r>
    </w:p>
    <w:p w:rsidR="007540D5" w:rsidRDefault="007540D5" w:rsidP="00A94809">
      <w:pPr>
        <w:spacing w:line="480" w:lineRule="auto"/>
        <w:rPr>
          <w:rFonts w:ascii="Times New Roman" w:hAnsi="Times New Roman" w:cs="Times New Roman"/>
          <w:sz w:val="24"/>
          <w:szCs w:val="24"/>
        </w:rPr>
      </w:pPr>
      <w:r>
        <w:rPr>
          <w:rFonts w:ascii="Times New Roman" w:hAnsi="Times New Roman" w:cs="Times New Roman"/>
          <w:sz w:val="24"/>
          <w:szCs w:val="24"/>
        </w:rPr>
        <w:t>It seems that Johnson &amp; Johnson continues to find itself in the middle of many legal cases by its own fault or that of its joint ventures and subsidiary companies.  This is an important case and represents the first of many re</w:t>
      </w:r>
      <w:r w:rsidR="001062D6">
        <w:rPr>
          <w:rFonts w:ascii="Times New Roman" w:hAnsi="Times New Roman" w:cs="Times New Roman"/>
          <w:sz w:val="24"/>
          <w:szCs w:val="24"/>
        </w:rPr>
        <w:t>lated to ASR XL hip replacement implants</w:t>
      </w:r>
      <w:r>
        <w:rPr>
          <w:rFonts w:ascii="Times New Roman" w:hAnsi="Times New Roman" w:cs="Times New Roman"/>
          <w:sz w:val="24"/>
          <w:szCs w:val="24"/>
        </w:rPr>
        <w:t xml:space="preserve">. </w:t>
      </w:r>
      <w:r w:rsidR="001062D6">
        <w:rPr>
          <w:rFonts w:ascii="Times New Roman" w:hAnsi="Times New Roman" w:cs="Times New Roman"/>
          <w:sz w:val="24"/>
          <w:szCs w:val="24"/>
        </w:rPr>
        <w:t>Mr. Kransky</w:t>
      </w:r>
      <w:r w:rsidR="009526B7">
        <w:rPr>
          <w:rFonts w:ascii="Times New Roman" w:hAnsi="Times New Roman" w:cs="Times New Roman"/>
          <w:sz w:val="24"/>
          <w:szCs w:val="24"/>
        </w:rPr>
        <w:t>’s case was moved quickly to trial due to his failing health.</w:t>
      </w:r>
      <w:r>
        <w:rPr>
          <w:rFonts w:ascii="Times New Roman" w:hAnsi="Times New Roman" w:cs="Times New Roman"/>
          <w:sz w:val="24"/>
          <w:szCs w:val="24"/>
        </w:rPr>
        <w:t xml:space="preserve"> </w:t>
      </w:r>
      <w:r w:rsidR="001062D6">
        <w:rPr>
          <w:rFonts w:ascii="Times New Roman" w:hAnsi="Times New Roman" w:cs="Times New Roman"/>
          <w:sz w:val="24"/>
          <w:szCs w:val="24"/>
        </w:rPr>
        <w:t>Loren Kransky</w:t>
      </w:r>
      <w:r w:rsidR="009562A6">
        <w:rPr>
          <w:rFonts w:ascii="Times New Roman" w:hAnsi="Times New Roman" w:cs="Times New Roman"/>
          <w:sz w:val="24"/>
          <w:szCs w:val="24"/>
        </w:rPr>
        <w:t xml:space="preserve"> died</w:t>
      </w:r>
      <w:r w:rsidR="00CA5667">
        <w:rPr>
          <w:rFonts w:ascii="Times New Roman" w:hAnsi="Times New Roman" w:cs="Times New Roman"/>
          <w:sz w:val="24"/>
          <w:szCs w:val="24"/>
        </w:rPr>
        <w:t xml:space="preserve"> in early 2014 and never learned the outcome of this appeal.  His wife became the representative in the case for his estate.</w:t>
      </w:r>
    </w:p>
    <w:p w:rsidR="003550F9" w:rsidRPr="003550F9" w:rsidRDefault="003550F9" w:rsidP="00A94809">
      <w:pPr>
        <w:spacing w:line="480" w:lineRule="auto"/>
        <w:rPr>
          <w:rFonts w:ascii="Times New Roman" w:hAnsi="Times New Roman" w:cs="Times New Roman"/>
          <w:b/>
          <w:sz w:val="24"/>
          <w:szCs w:val="24"/>
        </w:rPr>
      </w:pPr>
      <w:r w:rsidRPr="003550F9">
        <w:rPr>
          <w:rFonts w:ascii="Times New Roman" w:hAnsi="Times New Roman" w:cs="Times New Roman"/>
          <w:b/>
          <w:sz w:val="24"/>
          <w:szCs w:val="24"/>
        </w:rPr>
        <w:lastRenderedPageBreak/>
        <w:t>References:</w:t>
      </w:r>
    </w:p>
    <w:p w:rsidR="003550F9" w:rsidRDefault="003550F9" w:rsidP="003550F9">
      <w:pPr>
        <w:spacing w:line="480" w:lineRule="auto"/>
        <w:rPr>
          <w:rFonts w:ascii="Times New Roman" w:hAnsi="Times New Roman" w:cs="Times New Roman"/>
          <w:sz w:val="24"/>
          <w:szCs w:val="24"/>
        </w:rPr>
      </w:pPr>
      <w:r>
        <w:rPr>
          <w:rFonts w:ascii="Times New Roman" w:hAnsi="Times New Roman" w:cs="Times New Roman"/>
          <w:color w:val="000000"/>
          <w:sz w:val="24"/>
          <w:szCs w:val="24"/>
        </w:rPr>
        <w:t xml:space="preserve">Kubasek, N., Brennan, B., &amp; Browne, M. (2015). </w:t>
      </w:r>
      <w:r>
        <w:rPr>
          <w:rStyle w:val="Emphasis"/>
          <w:rFonts w:ascii="Times New Roman" w:hAnsi="Times New Roman" w:cs="Times New Roman"/>
          <w:color w:val="000000"/>
          <w:sz w:val="24"/>
          <w:szCs w:val="24"/>
        </w:rPr>
        <w:t xml:space="preserve">The legal environment of business: A critical thinking approach. </w:t>
      </w:r>
      <w:r>
        <w:rPr>
          <w:rFonts w:ascii="Times New Roman" w:hAnsi="Times New Roman" w:cs="Times New Roman"/>
          <w:color w:val="000000"/>
          <w:sz w:val="24"/>
          <w:szCs w:val="24"/>
        </w:rPr>
        <w:t>(p. 334).  </w:t>
      </w:r>
    </w:p>
    <w:p w:rsidR="003550F9" w:rsidRPr="007540D5" w:rsidRDefault="003550F9" w:rsidP="00A94809">
      <w:pPr>
        <w:spacing w:line="480" w:lineRule="auto"/>
        <w:rPr>
          <w:rFonts w:ascii="Times New Roman" w:hAnsi="Times New Roman" w:cs="Times New Roman"/>
          <w:sz w:val="24"/>
          <w:szCs w:val="24"/>
        </w:rPr>
      </w:pPr>
    </w:p>
    <w:sectPr w:rsidR="003550F9" w:rsidRPr="007540D5" w:rsidSect="00ED08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E1E" w:rsidRDefault="00433E1E" w:rsidP="004B5B23">
      <w:pPr>
        <w:spacing w:after="0" w:line="240" w:lineRule="auto"/>
      </w:pPr>
      <w:r>
        <w:separator/>
      </w:r>
    </w:p>
  </w:endnote>
  <w:endnote w:type="continuationSeparator" w:id="0">
    <w:p w:rsidR="00433E1E" w:rsidRDefault="00433E1E" w:rsidP="004B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23" w:rsidRDefault="004B5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23" w:rsidRDefault="004B5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23" w:rsidRDefault="004B5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E1E" w:rsidRDefault="00433E1E" w:rsidP="004B5B23">
      <w:pPr>
        <w:spacing w:after="0" w:line="240" w:lineRule="auto"/>
      </w:pPr>
      <w:r>
        <w:separator/>
      </w:r>
    </w:p>
  </w:footnote>
  <w:footnote w:type="continuationSeparator" w:id="0">
    <w:p w:rsidR="00433E1E" w:rsidRDefault="00433E1E" w:rsidP="004B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23" w:rsidRDefault="004B5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563678"/>
      <w:docPartObj>
        <w:docPartGallery w:val="Page Numbers (Top of Page)"/>
        <w:docPartUnique/>
      </w:docPartObj>
    </w:sdtPr>
    <w:sdtEndPr>
      <w:rPr>
        <w:noProof/>
      </w:rPr>
    </w:sdtEndPr>
    <w:sdtContent>
      <w:p w:rsidR="004B5B23" w:rsidRDefault="004B5B23" w:rsidP="00EF580F">
        <w:pPr>
          <w:pStyle w:val="Header"/>
          <w:ind w:firstLine="720"/>
          <w:jc w:val="right"/>
        </w:pPr>
        <w:r>
          <w:fldChar w:fldCharType="begin"/>
        </w:r>
        <w:r>
          <w:instrText xml:space="preserve"> PAGE   \* MERGEFORMAT </w:instrText>
        </w:r>
        <w:r>
          <w:fldChar w:fldCharType="separate"/>
        </w:r>
        <w:r w:rsidR="00EB18F3">
          <w:rPr>
            <w:noProof/>
          </w:rPr>
          <w:t>4</w:t>
        </w:r>
        <w:r>
          <w:rPr>
            <w:noProof/>
          </w:rPr>
          <w:fldChar w:fldCharType="end"/>
        </w:r>
      </w:p>
    </w:sdtContent>
  </w:sdt>
  <w:p w:rsidR="004B5B23" w:rsidRDefault="000026A7">
    <w:pPr>
      <w:pStyle w:val="Header"/>
    </w:pPr>
    <w:r>
      <w:tab/>
      <w:t>COURSE PROJECT UPDATE WEEK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23" w:rsidRDefault="004B5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F3"/>
    <w:rsid w:val="000026A7"/>
    <w:rsid w:val="00014408"/>
    <w:rsid w:val="0004291F"/>
    <w:rsid w:val="00050736"/>
    <w:rsid w:val="000A4E58"/>
    <w:rsid w:val="000A697C"/>
    <w:rsid w:val="000B28A7"/>
    <w:rsid w:val="000B5183"/>
    <w:rsid w:val="000B7AF3"/>
    <w:rsid w:val="000C21C8"/>
    <w:rsid w:val="000D2AC1"/>
    <w:rsid w:val="001062D6"/>
    <w:rsid w:val="00114F4D"/>
    <w:rsid w:val="00122454"/>
    <w:rsid w:val="0014074D"/>
    <w:rsid w:val="0015037F"/>
    <w:rsid w:val="00153125"/>
    <w:rsid w:val="00184021"/>
    <w:rsid w:val="00194439"/>
    <w:rsid w:val="00197F2F"/>
    <w:rsid w:val="001A27F1"/>
    <w:rsid w:val="001D0239"/>
    <w:rsid w:val="001E04B3"/>
    <w:rsid w:val="00203DA6"/>
    <w:rsid w:val="00206E95"/>
    <w:rsid w:val="0025255E"/>
    <w:rsid w:val="002620D4"/>
    <w:rsid w:val="002636D2"/>
    <w:rsid w:val="00285BD3"/>
    <w:rsid w:val="002D0682"/>
    <w:rsid w:val="002D5D88"/>
    <w:rsid w:val="0030450D"/>
    <w:rsid w:val="0032032F"/>
    <w:rsid w:val="00341032"/>
    <w:rsid w:val="00354DB1"/>
    <w:rsid w:val="003550F9"/>
    <w:rsid w:val="003672B0"/>
    <w:rsid w:val="00370805"/>
    <w:rsid w:val="003B0978"/>
    <w:rsid w:val="003E2CFF"/>
    <w:rsid w:val="00433E1E"/>
    <w:rsid w:val="004341BA"/>
    <w:rsid w:val="004623D2"/>
    <w:rsid w:val="0046344A"/>
    <w:rsid w:val="004B433E"/>
    <w:rsid w:val="004B5B23"/>
    <w:rsid w:val="004C6267"/>
    <w:rsid w:val="004E3E90"/>
    <w:rsid w:val="00536CF5"/>
    <w:rsid w:val="005403AC"/>
    <w:rsid w:val="0057722E"/>
    <w:rsid w:val="00586056"/>
    <w:rsid w:val="00596B6C"/>
    <w:rsid w:val="005C1E78"/>
    <w:rsid w:val="005D5CEC"/>
    <w:rsid w:val="007269CC"/>
    <w:rsid w:val="007274FE"/>
    <w:rsid w:val="007540D5"/>
    <w:rsid w:val="007C0B2E"/>
    <w:rsid w:val="00811CAF"/>
    <w:rsid w:val="008333D4"/>
    <w:rsid w:val="0083553E"/>
    <w:rsid w:val="0084271A"/>
    <w:rsid w:val="00843436"/>
    <w:rsid w:val="008832CF"/>
    <w:rsid w:val="00894C61"/>
    <w:rsid w:val="008A65CE"/>
    <w:rsid w:val="008C1B37"/>
    <w:rsid w:val="008C669C"/>
    <w:rsid w:val="008D77B5"/>
    <w:rsid w:val="00912A90"/>
    <w:rsid w:val="00945159"/>
    <w:rsid w:val="009526B7"/>
    <w:rsid w:val="009562A6"/>
    <w:rsid w:val="009935AF"/>
    <w:rsid w:val="009D4230"/>
    <w:rsid w:val="00A71857"/>
    <w:rsid w:val="00A72EA1"/>
    <w:rsid w:val="00A82F2A"/>
    <w:rsid w:val="00A94809"/>
    <w:rsid w:val="00B05C6B"/>
    <w:rsid w:val="00B22B08"/>
    <w:rsid w:val="00B570DD"/>
    <w:rsid w:val="00B60474"/>
    <w:rsid w:val="00B657D5"/>
    <w:rsid w:val="00B86FF2"/>
    <w:rsid w:val="00BD04E0"/>
    <w:rsid w:val="00C07A72"/>
    <w:rsid w:val="00C3741E"/>
    <w:rsid w:val="00C53284"/>
    <w:rsid w:val="00C6325B"/>
    <w:rsid w:val="00CA5667"/>
    <w:rsid w:val="00D90D70"/>
    <w:rsid w:val="00E06634"/>
    <w:rsid w:val="00E210E5"/>
    <w:rsid w:val="00E7287D"/>
    <w:rsid w:val="00EA58FE"/>
    <w:rsid w:val="00EB18F3"/>
    <w:rsid w:val="00ED088F"/>
    <w:rsid w:val="00ED7689"/>
    <w:rsid w:val="00EF580F"/>
    <w:rsid w:val="00F42CB2"/>
    <w:rsid w:val="00F8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E0823-4A07-445F-815D-8AC43F32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23"/>
  </w:style>
  <w:style w:type="paragraph" w:styleId="Footer">
    <w:name w:val="footer"/>
    <w:basedOn w:val="Normal"/>
    <w:link w:val="FooterChar"/>
    <w:uiPriority w:val="99"/>
    <w:unhideWhenUsed/>
    <w:rsid w:val="004B5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23"/>
  </w:style>
  <w:style w:type="character" w:styleId="Emphasis">
    <w:name w:val="Emphasis"/>
    <w:basedOn w:val="DefaultParagraphFont"/>
    <w:uiPriority w:val="20"/>
    <w:qFormat/>
    <w:rsid w:val="00355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598</Words>
  <Characters>3414</Characters>
  <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