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22" w:rsidRPr="00F528F9" w:rsidRDefault="00324E22" w:rsidP="00324E22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8F9">
        <w:rPr>
          <w:rFonts w:ascii="Times New Roman" w:hAnsi="Times New Roman" w:cs="Times New Roman"/>
          <w:b/>
          <w:sz w:val="24"/>
          <w:szCs w:val="24"/>
          <w:u w:val="single"/>
        </w:rPr>
        <w:t>Week 2</w:t>
      </w:r>
      <w:r w:rsidR="00F528F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528F9">
        <w:rPr>
          <w:rFonts w:ascii="Times New Roman" w:hAnsi="Times New Roman" w:cs="Times New Roman"/>
          <w:b/>
          <w:sz w:val="24"/>
          <w:szCs w:val="24"/>
          <w:u w:val="single"/>
        </w:rPr>
        <w:t xml:space="preserve"> Financial Forecast Using Excel Financial Forecasting</w:t>
      </w:r>
      <w:r w:rsidR="00F528F9" w:rsidRPr="00F528F9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Target Corporation</w:t>
      </w:r>
    </w:p>
    <w:p w:rsidR="00324E22" w:rsidRPr="007664BD" w:rsidRDefault="00324E22" w:rsidP="007664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4BD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224CE2" w:rsidRPr="00A51FB7" w:rsidRDefault="007128B8" w:rsidP="00A51FB7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51FB7">
        <w:rPr>
          <w:rFonts w:ascii="Times New Roman" w:hAnsi="Times New Roman" w:cs="Times New Roman"/>
          <w:sz w:val="24"/>
          <w:szCs w:val="24"/>
        </w:rPr>
        <w:t>Target Corporation</w:t>
      </w:r>
      <w:r w:rsidR="00AE4E3B" w:rsidRPr="00A51FB7">
        <w:rPr>
          <w:rFonts w:ascii="Times New Roman" w:hAnsi="Times New Roman" w:cs="Times New Roman"/>
          <w:sz w:val="24"/>
          <w:szCs w:val="24"/>
        </w:rPr>
        <w:t xml:space="preserve"> has had weak sales forecasts this year as compared to prior year. </w:t>
      </w:r>
      <w:r w:rsidR="007B6B34" w:rsidRPr="00A51FB7">
        <w:rPr>
          <w:rFonts w:ascii="Times New Roman" w:hAnsi="Times New Roman" w:cs="Times New Roman"/>
          <w:sz w:val="24"/>
          <w:szCs w:val="24"/>
        </w:rPr>
        <w:t xml:space="preserve">Despite this, </w:t>
      </w:r>
      <w:r w:rsidR="0058046C" w:rsidRPr="00A51FB7">
        <w:rPr>
          <w:rFonts w:ascii="Times New Roman" w:hAnsi="Times New Roman" w:cs="Times New Roman"/>
          <w:sz w:val="24"/>
          <w:szCs w:val="24"/>
        </w:rPr>
        <w:t xml:space="preserve">Target Corporation is expected to outperform </w:t>
      </w:r>
      <w:r w:rsidR="0009126A" w:rsidRPr="00A51FB7">
        <w:rPr>
          <w:rFonts w:ascii="Times New Roman" w:hAnsi="Times New Roman" w:cs="Times New Roman"/>
          <w:sz w:val="24"/>
          <w:szCs w:val="24"/>
        </w:rPr>
        <w:t xml:space="preserve">in </w:t>
      </w:r>
      <w:r w:rsidR="00A527AB" w:rsidRPr="00A51FB7">
        <w:rPr>
          <w:rFonts w:ascii="Times New Roman" w:hAnsi="Times New Roman" w:cs="Times New Roman"/>
          <w:sz w:val="24"/>
          <w:szCs w:val="24"/>
        </w:rPr>
        <w:t>next year.</w:t>
      </w:r>
      <w:r w:rsidR="0009126A" w:rsidRPr="00A51FB7">
        <w:rPr>
          <w:rFonts w:ascii="Times New Roman" w:hAnsi="Times New Roman" w:cs="Times New Roman"/>
          <w:sz w:val="24"/>
          <w:szCs w:val="24"/>
        </w:rPr>
        <w:t xml:space="preserve"> </w:t>
      </w:r>
      <w:r w:rsidRPr="00A51FB7">
        <w:rPr>
          <w:rFonts w:ascii="Times New Roman" w:hAnsi="Times New Roman" w:cs="Times New Roman"/>
          <w:sz w:val="24"/>
          <w:szCs w:val="24"/>
        </w:rPr>
        <w:t xml:space="preserve">The purpose of this paper is </w:t>
      </w:r>
      <w:r w:rsidR="00184555" w:rsidRPr="00A51FB7">
        <w:rPr>
          <w:rFonts w:ascii="Times New Roman" w:hAnsi="Times New Roman" w:cs="Times New Roman"/>
          <w:sz w:val="24"/>
          <w:szCs w:val="24"/>
        </w:rPr>
        <w:t xml:space="preserve">to </w:t>
      </w:r>
      <w:r w:rsidR="00B26990" w:rsidRPr="00A51FB7">
        <w:rPr>
          <w:rFonts w:ascii="Times New Roman" w:hAnsi="Times New Roman" w:cs="Times New Roman"/>
          <w:sz w:val="24"/>
          <w:szCs w:val="24"/>
        </w:rPr>
        <w:t>describe</w:t>
      </w:r>
      <w:r w:rsidR="00184555" w:rsidRPr="00A51FB7">
        <w:rPr>
          <w:rFonts w:ascii="Times New Roman" w:hAnsi="Times New Roman" w:cs="Times New Roman"/>
          <w:sz w:val="24"/>
          <w:szCs w:val="24"/>
        </w:rPr>
        <w:t xml:space="preserve"> the financial </w:t>
      </w:r>
      <w:r w:rsidR="00B26990" w:rsidRPr="00A51FB7">
        <w:rPr>
          <w:rFonts w:ascii="Times New Roman" w:hAnsi="Times New Roman" w:cs="Times New Roman"/>
          <w:sz w:val="24"/>
          <w:szCs w:val="24"/>
        </w:rPr>
        <w:t>projections</w:t>
      </w:r>
      <w:r w:rsidR="00250E06" w:rsidRPr="00A51FB7">
        <w:rPr>
          <w:rFonts w:ascii="Times New Roman" w:hAnsi="Times New Roman" w:cs="Times New Roman"/>
          <w:sz w:val="24"/>
          <w:szCs w:val="24"/>
        </w:rPr>
        <w:t xml:space="preserve"> of Target Corporation next year over the current </w:t>
      </w:r>
      <w:r w:rsidR="00D1239A" w:rsidRPr="00A51FB7">
        <w:rPr>
          <w:rFonts w:ascii="Times New Roman" w:hAnsi="Times New Roman" w:cs="Times New Roman"/>
          <w:sz w:val="24"/>
          <w:szCs w:val="24"/>
        </w:rPr>
        <w:t xml:space="preserve">balances. </w:t>
      </w:r>
      <w:r w:rsidR="00415BFE" w:rsidRPr="00A51FB7">
        <w:rPr>
          <w:rFonts w:ascii="Times New Roman" w:hAnsi="Times New Roman" w:cs="Times New Roman"/>
          <w:sz w:val="24"/>
          <w:szCs w:val="24"/>
        </w:rPr>
        <w:t xml:space="preserve">The paper </w:t>
      </w:r>
      <w:r w:rsidR="002320DF" w:rsidRPr="00A51FB7">
        <w:rPr>
          <w:rFonts w:ascii="Times New Roman" w:hAnsi="Times New Roman" w:cs="Times New Roman"/>
          <w:sz w:val="24"/>
          <w:szCs w:val="24"/>
        </w:rPr>
        <w:t xml:space="preserve">shall specifically </w:t>
      </w:r>
      <w:r w:rsidR="00D03F50" w:rsidRPr="00A51FB7">
        <w:rPr>
          <w:rFonts w:ascii="Times New Roman" w:hAnsi="Times New Roman" w:cs="Times New Roman"/>
          <w:sz w:val="24"/>
          <w:szCs w:val="24"/>
        </w:rPr>
        <w:t xml:space="preserve">discuss the growth rates projected using Prof. Steven’s Model as well, </w:t>
      </w:r>
      <w:r w:rsidR="00B11DA1" w:rsidRPr="00A51FB7">
        <w:rPr>
          <w:rFonts w:ascii="Times New Roman" w:hAnsi="Times New Roman" w:cs="Times New Roman"/>
          <w:sz w:val="24"/>
          <w:szCs w:val="24"/>
        </w:rPr>
        <w:t xml:space="preserve">explain all other assumptions, provide explanations and interpretation of the projected </w:t>
      </w:r>
      <w:r w:rsidR="003F7339" w:rsidRPr="00A51FB7">
        <w:rPr>
          <w:rFonts w:ascii="Times New Roman" w:hAnsi="Times New Roman" w:cs="Times New Roman"/>
          <w:sz w:val="24"/>
          <w:szCs w:val="24"/>
        </w:rPr>
        <w:t xml:space="preserve"> </w:t>
      </w:r>
      <w:r w:rsidR="00B11DA1" w:rsidRPr="00A51FB7">
        <w:rPr>
          <w:rFonts w:ascii="Times New Roman" w:hAnsi="Times New Roman" w:cs="Times New Roman"/>
          <w:sz w:val="24"/>
          <w:szCs w:val="24"/>
        </w:rPr>
        <w:t>finan</w:t>
      </w:r>
      <w:r w:rsidR="007342CE" w:rsidRPr="00A51FB7">
        <w:rPr>
          <w:rFonts w:ascii="Times New Roman" w:hAnsi="Times New Roman" w:cs="Times New Roman"/>
          <w:sz w:val="24"/>
          <w:szCs w:val="24"/>
        </w:rPr>
        <w:t>cial statements</w:t>
      </w:r>
      <w:r w:rsidR="00F6172F" w:rsidRPr="00A51FB7">
        <w:rPr>
          <w:rFonts w:ascii="Times New Roman" w:hAnsi="Times New Roman" w:cs="Times New Roman"/>
          <w:sz w:val="24"/>
          <w:szCs w:val="24"/>
        </w:rPr>
        <w:t>, as well as</w:t>
      </w:r>
      <w:r w:rsidR="007217A2" w:rsidRPr="00A51FB7">
        <w:rPr>
          <w:rFonts w:ascii="Times New Roman" w:hAnsi="Times New Roman" w:cs="Times New Roman"/>
          <w:sz w:val="24"/>
          <w:szCs w:val="24"/>
        </w:rPr>
        <w:t xml:space="preserve"> discuss</w:t>
      </w:r>
      <w:r w:rsidR="00F6172F" w:rsidRPr="00A51FB7">
        <w:rPr>
          <w:rFonts w:ascii="Times New Roman" w:hAnsi="Times New Roman" w:cs="Times New Roman"/>
          <w:sz w:val="24"/>
          <w:szCs w:val="24"/>
        </w:rPr>
        <w:t xml:space="preserve"> the overall </w:t>
      </w:r>
      <w:r w:rsidR="007342CE" w:rsidRPr="00A51FB7">
        <w:rPr>
          <w:rFonts w:ascii="Times New Roman" w:hAnsi="Times New Roman" w:cs="Times New Roman"/>
          <w:sz w:val="24"/>
          <w:szCs w:val="24"/>
        </w:rPr>
        <w:t>forecast and financial ratios under this model.</w:t>
      </w:r>
      <w:r w:rsidR="00224CE2" w:rsidRPr="00A51FB7">
        <w:rPr>
          <w:rFonts w:ascii="Times New Roman" w:hAnsi="Times New Roman" w:cs="Times New Roman"/>
          <w:sz w:val="24"/>
          <w:szCs w:val="24"/>
        </w:rPr>
        <w:t xml:space="preserve"> </w:t>
      </w:r>
      <w:r w:rsidR="00B54E55" w:rsidRPr="00A51FB7">
        <w:rPr>
          <w:rFonts w:ascii="Times New Roman" w:hAnsi="Times New Roman" w:cs="Times New Roman"/>
          <w:sz w:val="24"/>
          <w:szCs w:val="24"/>
        </w:rPr>
        <w:t xml:space="preserve">The methodology in this analysis was basically the use of Excel financial forecasting techniques with the aid of Prof. Steven’s model of financial forecasting. </w:t>
      </w:r>
      <w:r w:rsidR="00763861" w:rsidRPr="00A51FB7">
        <w:rPr>
          <w:rFonts w:ascii="Times New Roman" w:hAnsi="Times New Roman" w:cs="Times New Roman"/>
          <w:sz w:val="24"/>
          <w:szCs w:val="24"/>
        </w:rPr>
        <w:t xml:space="preserve">Data was obtained through secondary data sources, specifically online resources. </w:t>
      </w:r>
      <w:r w:rsidR="00003EDF" w:rsidRPr="00A51FB7">
        <w:rPr>
          <w:rFonts w:ascii="Times New Roman" w:hAnsi="Times New Roman" w:cs="Times New Roman"/>
          <w:sz w:val="24"/>
          <w:szCs w:val="24"/>
        </w:rPr>
        <w:t>The data analysis shall be presented</w:t>
      </w:r>
      <w:r w:rsidR="00AB5EBC">
        <w:rPr>
          <w:rFonts w:ascii="Times New Roman" w:hAnsi="Times New Roman" w:cs="Times New Roman"/>
          <w:sz w:val="24"/>
          <w:szCs w:val="24"/>
        </w:rPr>
        <w:t xml:space="preserve"> in table format. </w:t>
      </w:r>
    </w:p>
    <w:p w:rsidR="00224CE2" w:rsidRPr="00E336A5" w:rsidRDefault="00207162" w:rsidP="006248D7">
      <w:pPr>
        <w:pStyle w:val="ListParagraph"/>
        <w:spacing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Explanation of </w:t>
      </w:r>
      <w:r w:rsidR="005D36D8">
        <w:rPr>
          <w:rFonts w:ascii="Times New Roman" w:hAnsi="Times New Roman" w:cs="Times New Roman"/>
          <w:b/>
          <w:sz w:val="24"/>
          <w:szCs w:val="24"/>
        </w:rPr>
        <w:t>Growth Rates</w:t>
      </w:r>
    </w:p>
    <w:p w:rsidR="00F339B6" w:rsidRDefault="005D36D8" w:rsidP="00B13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074B">
        <w:rPr>
          <w:rFonts w:ascii="Times New Roman" w:hAnsi="Times New Roman" w:cs="Times New Roman"/>
          <w:sz w:val="24"/>
          <w:szCs w:val="24"/>
        </w:rPr>
        <w:t xml:space="preserve">Target’s growth rates for sales revenue </w:t>
      </w:r>
      <w:r w:rsidR="000B5E91" w:rsidRPr="007E074B">
        <w:rPr>
          <w:rFonts w:ascii="Times New Roman" w:hAnsi="Times New Roman" w:cs="Times New Roman"/>
          <w:sz w:val="24"/>
          <w:szCs w:val="24"/>
        </w:rPr>
        <w:t xml:space="preserve">for the </w:t>
      </w:r>
      <w:r w:rsidR="008E0D9C" w:rsidRPr="007E074B">
        <w:rPr>
          <w:rFonts w:ascii="Times New Roman" w:hAnsi="Times New Roman" w:cs="Times New Roman"/>
          <w:sz w:val="24"/>
          <w:szCs w:val="24"/>
        </w:rPr>
        <w:t>current quarter</w:t>
      </w:r>
      <w:r w:rsidR="00B31F9C">
        <w:rPr>
          <w:rFonts w:ascii="Times New Roman" w:hAnsi="Times New Roman" w:cs="Times New Roman"/>
          <w:sz w:val="24"/>
          <w:szCs w:val="24"/>
        </w:rPr>
        <w:t xml:space="preserve"> had declined by 5.6% over the last quarter’s sales</w:t>
      </w:r>
      <w:r w:rsidR="008E0D9C" w:rsidRPr="007E074B">
        <w:rPr>
          <w:rFonts w:ascii="Times New Roman" w:hAnsi="Times New Roman" w:cs="Times New Roman"/>
          <w:sz w:val="24"/>
          <w:szCs w:val="24"/>
        </w:rPr>
        <w:t xml:space="preserve">. </w:t>
      </w:r>
      <w:r w:rsidR="00F71658" w:rsidRPr="007E074B">
        <w:rPr>
          <w:rFonts w:ascii="Times New Roman" w:hAnsi="Times New Roman" w:cs="Times New Roman"/>
          <w:sz w:val="24"/>
          <w:szCs w:val="24"/>
        </w:rPr>
        <w:t>Target Corporation’s revenues for the 12 month trailing period ending 30 Jul, 2016 are reported to have increased by 1.6% over the prior year’</w:t>
      </w:r>
      <w:r w:rsidR="007E074B" w:rsidRPr="007E074B">
        <w:rPr>
          <w:rFonts w:ascii="Times New Roman" w:hAnsi="Times New Roman" w:cs="Times New Roman"/>
          <w:sz w:val="24"/>
          <w:szCs w:val="24"/>
        </w:rPr>
        <w:t xml:space="preserve">s revenues. </w:t>
      </w:r>
      <w:r w:rsidR="009F53A2">
        <w:rPr>
          <w:rFonts w:ascii="Times New Roman" w:hAnsi="Times New Roman" w:cs="Times New Roman"/>
          <w:sz w:val="24"/>
          <w:szCs w:val="24"/>
        </w:rPr>
        <w:t xml:space="preserve">The decline in the quarterly sales revenues since the first quarter which ended in 30 April, 2016 </w:t>
      </w:r>
      <w:r w:rsidR="0018588E">
        <w:rPr>
          <w:rFonts w:ascii="Times New Roman" w:hAnsi="Times New Roman" w:cs="Times New Roman"/>
          <w:sz w:val="24"/>
          <w:szCs w:val="24"/>
        </w:rPr>
        <w:t xml:space="preserve">is a clear indication that </w:t>
      </w:r>
      <w:r w:rsidR="00A06B7F">
        <w:rPr>
          <w:rFonts w:ascii="Times New Roman" w:hAnsi="Times New Roman" w:cs="Times New Roman"/>
          <w:sz w:val="24"/>
          <w:szCs w:val="24"/>
        </w:rPr>
        <w:t xml:space="preserve">the revenues for next year will increase slightly over the current </w:t>
      </w:r>
      <w:r w:rsidR="00F31769">
        <w:rPr>
          <w:rFonts w:ascii="Times New Roman" w:hAnsi="Times New Roman" w:cs="Times New Roman"/>
          <w:sz w:val="24"/>
          <w:szCs w:val="24"/>
        </w:rPr>
        <w:t>year’s sales</w:t>
      </w:r>
      <w:r w:rsidR="00A06B7F">
        <w:rPr>
          <w:rFonts w:ascii="Times New Roman" w:hAnsi="Times New Roman" w:cs="Times New Roman"/>
          <w:sz w:val="24"/>
          <w:szCs w:val="24"/>
        </w:rPr>
        <w:t xml:space="preserve">. </w:t>
      </w:r>
      <w:r w:rsidR="009027B1">
        <w:rPr>
          <w:rFonts w:ascii="Times New Roman" w:hAnsi="Times New Roman" w:cs="Times New Roman"/>
          <w:sz w:val="24"/>
          <w:szCs w:val="24"/>
        </w:rPr>
        <w:t xml:space="preserve">It’s therefore not likely that the sales revenue for Target Corp. can increase greatly by more than 2% next year, 2017. </w:t>
      </w:r>
      <w:r w:rsidR="00B916AB">
        <w:rPr>
          <w:rFonts w:ascii="Times New Roman" w:hAnsi="Times New Roman" w:cs="Times New Roman"/>
          <w:sz w:val="24"/>
          <w:szCs w:val="24"/>
        </w:rPr>
        <w:t>Some analysts are even stipulatin</w:t>
      </w:r>
      <w:r w:rsidR="002175C1">
        <w:rPr>
          <w:rFonts w:ascii="Times New Roman" w:hAnsi="Times New Roman" w:cs="Times New Roman"/>
          <w:sz w:val="24"/>
          <w:szCs w:val="24"/>
        </w:rPr>
        <w:t>g a decline of revenues but Target’s consensus panel of analysts are estimating a slight increase.</w:t>
      </w:r>
      <w:r w:rsidR="001C5E16">
        <w:rPr>
          <w:rFonts w:ascii="Times New Roman" w:hAnsi="Times New Roman" w:cs="Times New Roman"/>
          <w:sz w:val="24"/>
          <w:szCs w:val="24"/>
        </w:rPr>
        <w:t xml:space="preserve"> It was</w:t>
      </w:r>
      <w:r w:rsidR="00673E5B">
        <w:rPr>
          <w:rFonts w:ascii="Times New Roman" w:hAnsi="Times New Roman" w:cs="Times New Roman"/>
          <w:sz w:val="24"/>
          <w:szCs w:val="24"/>
        </w:rPr>
        <w:t xml:space="preserve"> reported that </w:t>
      </w:r>
      <w:r w:rsidR="00BE5AD4">
        <w:rPr>
          <w:rFonts w:ascii="Times New Roman" w:hAnsi="Times New Roman" w:cs="Times New Roman"/>
          <w:sz w:val="24"/>
          <w:szCs w:val="24"/>
        </w:rPr>
        <w:t>Target Corp. itself had cut its own sales forecasts after the last quarter’s results fell below the expectations.</w:t>
      </w:r>
      <w:r w:rsidR="006D3A74">
        <w:rPr>
          <w:rFonts w:ascii="Times New Roman" w:hAnsi="Times New Roman" w:cs="Times New Roman"/>
          <w:sz w:val="24"/>
          <w:szCs w:val="24"/>
        </w:rPr>
        <w:t xml:space="preserve"> </w:t>
      </w:r>
      <w:r w:rsidR="00F339B6">
        <w:rPr>
          <w:rFonts w:ascii="Times New Roman" w:hAnsi="Times New Roman" w:cs="Times New Roman"/>
          <w:sz w:val="24"/>
          <w:szCs w:val="24"/>
        </w:rPr>
        <w:t xml:space="preserve">The growth rate of other revenues </w:t>
      </w:r>
      <w:r w:rsidR="001B7061">
        <w:rPr>
          <w:rFonts w:ascii="Times New Roman" w:hAnsi="Times New Roman" w:cs="Times New Roman"/>
          <w:sz w:val="24"/>
          <w:szCs w:val="24"/>
        </w:rPr>
        <w:t>is e</w:t>
      </w:r>
      <w:r w:rsidR="00EC37F6">
        <w:rPr>
          <w:rFonts w:ascii="Times New Roman" w:hAnsi="Times New Roman" w:cs="Times New Roman"/>
          <w:sz w:val="24"/>
          <w:szCs w:val="24"/>
        </w:rPr>
        <w:t>xpected to increase by about 1.46% similar to</w:t>
      </w:r>
      <w:r w:rsidR="001B7061">
        <w:rPr>
          <w:rFonts w:ascii="Times New Roman" w:hAnsi="Times New Roman" w:cs="Times New Roman"/>
          <w:sz w:val="24"/>
          <w:szCs w:val="24"/>
        </w:rPr>
        <w:t xml:space="preserve"> the current year’</w:t>
      </w:r>
      <w:r w:rsidR="00AC6890">
        <w:rPr>
          <w:rFonts w:ascii="Times New Roman" w:hAnsi="Times New Roman" w:cs="Times New Roman"/>
          <w:sz w:val="24"/>
          <w:szCs w:val="24"/>
        </w:rPr>
        <w:t xml:space="preserve">s </w:t>
      </w:r>
      <w:r w:rsidR="003024B4">
        <w:rPr>
          <w:rFonts w:ascii="Times New Roman" w:hAnsi="Times New Roman" w:cs="Times New Roman"/>
          <w:sz w:val="24"/>
          <w:szCs w:val="24"/>
        </w:rPr>
        <w:t xml:space="preserve">estimated </w:t>
      </w:r>
      <w:r w:rsidR="00AC6890">
        <w:rPr>
          <w:rFonts w:ascii="Times New Roman" w:hAnsi="Times New Roman" w:cs="Times New Roman"/>
          <w:sz w:val="24"/>
          <w:szCs w:val="24"/>
        </w:rPr>
        <w:lastRenderedPageBreak/>
        <w:t xml:space="preserve">increase of 1.4% compared to prior year. </w:t>
      </w:r>
      <w:r w:rsidR="0034512F">
        <w:rPr>
          <w:rFonts w:ascii="Times New Roman" w:hAnsi="Times New Roman" w:cs="Times New Roman"/>
          <w:sz w:val="24"/>
          <w:szCs w:val="24"/>
        </w:rPr>
        <w:t xml:space="preserve">The overall </w:t>
      </w:r>
      <w:r w:rsidR="00E94ECB">
        <w:rPr>
          <w:rFonts w:ascii="Times New Roman" w:hAnsi="Times New Roman" w:cs="Times New Roman"/>
          <w:sz w:val="24"/>
          <w:szCs w:val="24"/>
        </w:rPr>
        <w:t xml:space="preserve">average </w:t>
      </w:r>
      <w:r w:rsidR="00BE7A0D">
        <w:rPr>
          <w:rFonts w:ascii="Times New Roman" w:hAnsi="Times New Roman" w:cs="Times New Roman"/>
          <w:sz w:val="24"/>
          <w:szCs w:val="24"/>
        </w:rPr>
        <w:t xml:space="preserve">sustained </w:t>
      </w:r>
      <w:r w:rsidR="007B2342">
        <w:rPr>
          <w:rFonts w:ascii="Times New Roman" w:hAnsi="Times New Roman" w:cs="Times New Roman"/>
          <w:sz w:val="24"/>
          <w:szCs w:val="24"/>
        </w:rPr>
        <w:t>earnings growth</w:t>
      </w:r>
      <w:r w:rsidR="0034512F">
        <w:rPr>
          <w:rFonts w:ascii="Times New Roman" w:hAnsi="Times New Roman" w:cs="Times New Roman"/>
          <w:sz w:val="24"/>
          <w:szCs w:val="24"/>
        </w:rPr>
        <w:t xml:space="preserve"> rate </w:t>
      </w:r>
      <w:r w:rsidR="00344ADE">
        <w:rPr>
          <w:rFonts w:ascii="Times New Roman" w:hAnsi="Times New Roman" w:cs="Times New Roman"/>
          <w:sz w:val="24"/>
          <w:szCs w:val="24"/>
        </w:rPr>
        <w:t xml:space="preserve">for the company </w:t>
      </w:r>
      <w:r w:rsidR="00603BD2">
        <w:rPr>
          <w:rFonts w:ascii="Times New Roman" w:hAnsi="Times New Roman" w:cs="Times New Roman"/>
          <w:sz w:val="24"/>
          <w:szCs w:val="24"/>
        </w:rPr>
        <w:t xml:space="preserve">is </w:t>
      </w:r>
      <w:r w:rsidR="00FA6716">
        <w:rPr>
          <w:rFonts w:ascii="Times New Roman" w:hAnsi="Times New Roman" w:cs="Times New Roman"/>
          <w:sz w:val="24"/>
          <w:szCs w:val="24"/>
        </w:rPr>
        <w:t xml:space="preserve">however </w:t>
      </w:r>
      <w:r w:rsidR="00603BD2">
        <w:rPr>
          <w:rFonts w:ascii="Times New Roman" w:hAnsi="Times New Roman" w:cs="Times New Roman"/>
          <w:sz w:val="24"/>
          <w:szCs w:val="24"/>
        </w:rPr>
        <w:t xml:space="preserve">projected to increase by about 6.8% in 2017. </w:t>
      </w:r>
    </w:p>
    <w:p w:rsidR="00673E5B" w:rsidRPr="007C25AF" w:rsidRDefault="0057714F" w:rsidP="007C25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Explanation of </w:t>
      </w:r>
      <w:r w:rsidR="00654C71">
        <w:rPr>
          <w:rFonts w:ascii="Times New Roman" w:hAnsi="Times New Roman" w:cs="Times New Roman"/>
          <w:b/>
          <w:sz w:val="24"/>
          <w:szCs w:val="24"/>
        </w:rPr>
        <w:t>All Other Assumptions</w:t>
      </w:r>
    </w:p>
    <w:tbl>
      <w:tblPr>
        <w:tblStyle w:val="TableGrid"/>
        <w:tblW w:w="116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2685"/>
        <w:gridCol w:w="915"/>
        <w:gridCol w:w="1530"/>
        <w:gridCol w:w="6480"/>
      </w:tblGrid>
      <w:tr w:rsidR="00834C88" w:rsidRPr="00CC2FB0" w:rsidTr="008D1D55">
        <w:trPr>
          <w:trHeight w:val="1052"/>
        </w:trPr>
        <w:tc>
          <w:tcPr>
            <w:tcW w:w="3600" w:type="dxa"/>
            <w:gridSpan w:val="2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  <w:b/>
                <w:bCs/>
              </w:rPr>
            </w:pPr>
            <w:r w:rsidRPr="00CC2FB0">
              <w:rPr>
                <w:rFonts w:ascii="Times New Roman" w:hAnsi="Times New Roman" w:cs="Times New Roman"/>
                <w:b/>
                <w:bCs/>
              </w:rPr>
              <w:t>Inputs (First Page)</w:t>
            </w:r>
          </w:p>
        </w:tc>
        <w:tc>
          <w:tcPr>
            <w:tcW w:w="153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  <w:b/>
                <w:bCs/>
              </w:rPr>
            </w:pPr>
            <w:r w:rsidRPr="00CC2FB0">
              <w:rPr>
                <w:rFonts w:ascii="Times New Roman" w:hAnsi="Times New Roman" w:cs="Times New Roman"/>
                <w:b/>
                <w:bCs/>
              </w:rPr>
              <w:t>% of Current Balance OR Forecast If Different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  <w:b/>
                <w:bCs/>
              </w:rPr>
            </w:pPr>
            <w:r w:rsidRPr="00CC2FB0">
              <w:rPr>
                <w:rFonts w:ascii="Times New Roman" w:hAnsi="Times New Roman" w:cs="Times New Roman"/>
                <w:b/>
                <w:bCs/>
              </w:rPr>
              <w:t>Explanation of Assumptions</w:t>
            </w:r>
          </w:p>
        </w:tc>
      </w:tr>
      <w:tr w:rsidR="00834C88" w:rsidRPr="00CC2FB0" w:rsidTr="008D1D55">
        <w:trPr>
          <w:trHeight w:val="575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Cost of Sales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70.00%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Target's current cost of sales are $50321 while the sales are $71603 for the past trailing 12 months ending July 30. </w:t>
            </w:r>
          </w:p>
        </w:tc>
      </w:tr>
      <w:tr w:rsidR="00834C88" w:rsidRPr="00CC2FB0" w:rsidTr="008D1D55">
        <w:trPr>
          <w:trHeight w:val="89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Selling/General/Administrative Expenses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66.00%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If the SGA is less than 30% of the gross profit, the company is in less competitive industry. If SGA is close to 100%, it's operating in a very competitive industry.</w:t>
            </w:r>
          </w:p>
        </w:tc>
      </w:tr>
      <w:tr w:rsidR="00834C88" w:rsidRPr="00CC2FB0" w:rsidTr="008D1D55">
        <w:trPr>
          <w:trHeight w:val="53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Expenses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11.00%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expenses in the 12 month trailing period ending 30 Jul, 2016 was 11% of the total gross profit.</w:t>
            </w:r>
          </w:p>
        </w:tc>
      </w:tr>
      <w:tr w:rsidR="00834C88" w:rsidRPr="00CC2FB0" w:rsidTr="008D1D55">
        <w:trPr>
          <w:trHeight w:val="602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Expenses%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6.80%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Income tax expense was 6.8% of the total gross profit in the 12 month trailing period ending 30 Jul, 2016</w:t>
            </w:r>
          </w:p>
        </w:tc>
      </w:tr>
      <w:tr w:rsidR="00834C88" w:rsidRPr="00CC2FB0" w:rsidTr="008D1D55">
        <w:trPr>
          <w:trHeight w:val="62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Cash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7.00%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The cash &amp; cash equivalents for Target Corp in the last 4 quarters ending July 30 is 7% of the total assets. </w:t>
            </w:r>
          </w:p>
        </w:tc>
      </w:tr>
      <w:tr w:rsidR="00834C88" w:rsidRPr="00CC2FB0" w:rsidTr="008D1D55">
        <w:trPr>
          <w:trHeight w:val="585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Accounts Receivable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There is no issue of accounts receivables in the last 4 Quarters ended July 30, 2016.</w:t>
            </w:r>
            <w:r w:rsidR="009A6987" w:rsidRPr="00CC2FB0">
              <w:rPr>
                <w:rFonts w:ascii="Times New Roman" w:hAnsi="Times New Roman" w:cs="Times New Roman"/>
              </w:rPr>
              <w:t xml:space="preserve"> This is basically because this is a retail business. </w:t>
            </w:r>
            <w:r w:rsidR="00155DFB" w:rsidRPr="00CC2FB0">
              <w:rPr>
                <w:rFonts w:ascii="Times New Roman" w:hAnsi="Times New Roman" w:cs="Times New Roman"/>
              </w:rPr>
              <w:t>Manufacturing companies however can’t have zero accounts receivables throughout the year.</w:t>
            </w:r>
          </w:p>
        </w:tc>
      </w:tr>
      <w:tr w:rsidR="00834C88" w:rsidRPr="00CC2FB0" w:rsidTr="008D1D55">
        <w:trPr>
          <w:trHeight w:val="585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Inventories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23.000%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Target's Inventory are only 23% of the total assets but 66% of the total current liabilities. </w:t>
            </w:r>
            <w:r w:rsidR="000A005A" w:rsidRPr="00CC2FB0">
              <w:rPr>
                <w:rFonts w:ascii="Times New Roman" w:hAnsi="Times New Roman" w:cs="Times New Roman"/>
              </w:rPr>
              <w:t xml:space="preserve">The inventories </w:t>
            </w:r>
            <w:r w:rsidR="00F5318B" w:rsidRPr="00CC2FB0">
              <w:rPr>
                <w:rFonts w:ascii="Times New Roman" w:hAnsi="Times New Roman" w:cs="Times New Roman"/>
              </w:rPr>
              <w:t xml:space="preserve">have increasing trend and are therefore likely to increase next year by around 6%. </w:t>
            </w:r>
          </w:p>
        </w:tc>
      </w:tr>
      <w:tr w:rsidR="00834C88" w:rsidRPr="00CC2FB0" w:rsidTr="008D1D55">
        <w:trPr>
          <w:trHeight w:val="585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Current Assets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4.500%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current assets were 4.55% of the total assets for the 12 year period ended July 30.</w:t>
            </w:r>
          </w:p>
        </w:tc>
      </w:tr>
      <w:tr w:rsidR="00834C88" w:rsidRPr="00CC2FB0" w:rsidTr="008D1D55">
        <w:trPr>
          <w:trHeight w:val="585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Assets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63.25%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Property, Plant &amp; Equipment was 63.25% of the total assets for the 4 Quarters ended July 30.</w:t>
            </w:r>
          </w:p>
        </w:tc>
      </w:tr>
      <w:tr w:rsidR="00834C88" w:rsidRPr="00CC2FB0" w:rsidTr="008D1D55">
        <w:trPr>
          <w:trHeight w:val="585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Assets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2.32%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assets were 2.32% of the total assets in the last four quarters.</w:t>
            </w:r>
          </w:p>
        </w:tc>
      </w:tr>
      <w:tr w:rsidR="00834C88" w:rsidRPr="00CC2FB0" w:rsidTr="008D1D55">
        <w:trPr>
          <w:trHeight w:val="87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Accounts Payable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33.00%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The company has accounts payables amounting to 33% of the total liabilities in the 12 month period ending July 30, 2016.</w:t>
            </w:r>
            <w:r w:rsidR="00116D9D" w:rsidRPr="00CC2F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4C88" w:rsidRPr="00CC2FB0" w:rsidTr="008D1D55">
        <w:trPr>
          <w:trHeight w:val="585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Notes Payable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4.00%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The short-term/current long term debt was 4% as of July 20, 2016.</w:t>
            </w:r>
          </w:p>
        </w:tc>
      </w:tr>
      <w:tr w:rsidR="00834C88" w:rsidRPr="00CC2FB0" w:rsidTr="008D1D55">
        <w:trPr>
          <w:trHeight w:val="585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Current Liabilities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0.50%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current liabilities were only 0.5% of the total liabilities in the last 12 month period ending Jul 30.</w:t>
            </w:r>
          </w:p>
        </w:tc>
      </w:tr>
      <w:tr w:rsidR="00834C88" w:rsidRPr="00CC2FB0" w:rsidTr="008E2045">
        <w:trPr>
          <w:trHeight w:val="7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Long-Term Liabilities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45.00%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Commercial paper represented the highest percentage of the </w:t>
            </w:r>
            <w:r w:rsidR="004B67F6" w:rsidRPr="00CC2FB0">
              <w:rPr>
                <w:rFonts w:ascii="Times New Roman" w:hAnsi="Times New Roman" w:cs="Times New Roman"/>
              </w:rPr>
              <w:t>company’s</w:t>
            </w:r>
            <w:r w:rsidRPr="00CC2FB0">
              <w:rPr>
                <w:rFonts w:ascii="Times New Roman" w:hAnsi="Times New Roman" w:cs="Times New Roman"/>
              </w:rPr>
              <w:t xml:space="preserve"> debt of 45% in the 12 month period ended July 30, 2016.</w:t>
            </w:r>
          </w:p>
        </w:tc>
      </w:tr>
      <w:tr w:rsidR="00834C88" w:rsidRPr="00CC2FB0" w:rsidTr="008D1D55">
        <w:trPr>
          <w:trHeight w:val="30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Long-Term Liabilities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6.00%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Other long-term debt were 6% of the total liabilities.</w:t>
            </w:r>
          </w:p>
        </w:tc>
      </w:tr>
      <w:tr w:rsidR="00834C88" w:rsidRPr="00CC2FB0" w:rsidTr="008E2045">
        <w:trPr>
          <w:trHeight w:val="602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lastRenderedPageBreak/>
              <w:t>Other Equity %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-5.00%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The company has been repurchasing stock which has led to the negative 5% decrease of the total stockholders' equity.</w:t>
            </w:r>
          </w:p>
        </w:tc>
      </w:tr>
      <w:tr w:rsidR="00834C88" w:rsidRPr="00CC2FB0" w:rsidTr="008D1D55">
        <w:trPr>
          <w:gridAfter w:val="3"/>
          <w:wAfter w:w="8925" w:type="dxa"/>
          <w:trHeight w:val="525"/>
        </w:trPr>
        <w:tc>
          <w:tcPr>
            <w:tcW w:w="2685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  <w:b/>
                <w:bCs/>
              </w:rPr>
            </w:pPr>
            <w:r w:rsidRPr="00CC2FB0">
              <w:rPr>
                <w:rFonts w:ascii="Times New Roman" w:hAnsi="Times New Roman" w:cs="Times New Roman"/>
                <w:b/>
                <w:bCs/>
              </w:rPr>
              <w:t>Next Year Forecast</w:t>
            </w:r>
          </w:p>
        </w:tc>
      </w:tr>
      <w:tr w:rsidR="00834C88" w:rsidRPr="00CC2FB0" w:rsidTr="008D1D55">
        <w:trPr>
          <w:trHeight w:val="87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Growth Rate for Sales Revenues (%)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2.0%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The sales are estimated to increase by 2% in next year even though the current quarter has experienced a decline of 5.7% from last Quarter's. </w:t>
            </w:r>
            <w:r w:rsidR="00322654">
              <w:rPr>
                <w:rFonts w:ascii="Times New Roman" w:hAnsi="Times New Roman" w:cs="Times New Roman"/>
              </w:rPr>
              <w:t xml:space="preserve">The current </w:t>
            </w:r>
            <w:r w:rsidR="00A27528">
              <w:rPr>
                <w:rFonts w:ascii="Times New Roman" w:hAnsi="Times New Roman" w:cs="Times New Roman"/>
              </w:rPr>
              <w:t xml:space="preserve">sales </w:t>
            </w:r>
            <w:r w:rsidR="00322654">
              <w:rPr>
                <w:rFonts w:ascii="Times New Roman" w:hAnsi="Times New Roman" w:cs="Times New Roman"/>
              </w:rPr>
              <w:t xml:space="preserve">revenues </w:t>
            </w:r>
            <w:r w:rsidR="00435FF3">
              <w:rPr>
                <w:rFonts w:ascii="Times New Roman" w:hAnsi="Times New Roman" w:cs="Times New Roman"/>
              </w:rPr>
              <w:t xml:space="preserve">for the 12 month trailing period ended 30 Jul </w:t>
            </w:r>
            <w:r w:rsidR="00322654">
              <w:rPr>
                <w:rFonts w:ascii="Times New Roman" w:hAnsi="Times New Roman" w:cs="Times New Roman"/>
              </w:rPr>
              <w:t>had increased by 1.6% over the prior year’</w:t>
            </w:r>
            <w:r w:rsidR="006D13F0">
              <w:rPr>
                <w:rFonts w:ascii="Times New Roman" w:hAnsi="Times New Roman" w:cs="Times New Roman"/>
              </w:rPr>
              <w:t xml:space="preserve">s sales revenues. </w:t>
            </w:r>
            <w:r w:rsidR="003226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4C88" w:rsidRPr="00CC2FB0" w:rsidTr="008E2045">
        <w:trPr>
          <w:trHeight w:val="683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Growth Rate for Other Revenues (%)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EC37F6" w:rsidP="00834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</w:t>
            </w:r>
            <w:r w:rsidR="00834C88" w:rsidRPr="00CC2F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The growth of other revenues is estimated to be by a slight increase of</w:t>
            </w:r>
            <w:r w:rsidR="000E43C2">
              <w:rPr>
                <w:rFonts w:ascii="Times New Roman" w:hAnsi="Times New Roman" w:cs="Times New Roman"/>
              </w:rPr>
              <w:t xml:space="preserve"> 1.46</w:t>
            </w:r>
            <w:r w:rsidRPr="00CC2FB0">
              <w:rPr>
                <w:rFonts w:ascii="Times New Roman" w:hAnsi="Times New Roman" w:cs="Times New Roman"/>
              </w:rPr>
              <w:t>% from the curren</w:t>
            </w:r>
            <w:r w:rsidR="00795003">
              <w:rPr>
                <w:rFonts w:ascii="Times New Roman" w:hAnsi="Times New Roman" w:cs="Times New Roman"/>
              </w:rPr>
              <w:t xml:space="preserve">t year's estimated growth rate. </w:t>
            </w:r>
          </w:p>
        </w:tc>
      </w:tr>
      <w:tr w:rsidR="00834C88" w:rsidRPr="00CC2FB0" w:rsidTr="008D1D55">
        <w:trPr>
          <w:trHeight w:val="585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New Long-Term Debt $ (+)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$1,962.0 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The company is forecasting a possible </w:t>
            </w:r>
            <w:r w:rsidR="008C297F" w:rsidRPr="00CC2FB0">
              <w:rPr>
                <w:rFonts w:ascii="Times New Roman" w:hAnsi="Times New Roman" w:cs="Times New Roman"/>
              </w:rPr>
              <w:t>increase</w:t>
            </w:r>
            <w:r w:rsidRPr="00CC2FB0">
              <w:rPr>
                <w:rFonts w:ascii="Times New Roman" w:hAnsi="Times New Roman" w:cs="Times New Roman"/>
              </w:rPr>
              <w:t xml:space="preserve"> of $1,962m over the current long-term debt in 2017.</w:t>
            </w:r>
            <w:r w:rsidR="005E53A9" w:rsidRPr="00CC2FB0">
              <w:rPr>
                <w:rFonts w:ascii="Times New Roman" w:hAnsi="Times New Roman" w:cs="Times New Roman"/>
              </w:rPr>
              <w:t xml:space="preserve"> In order for </w:t>
            </w:r>
            <w:r w:rsidR="006F56E2" w:rsidRPr="00CC2FB0">
              <w:rPr>
                <w:rFonts w:ascii="Times New Roman" w:hAnsi="Times New Roman" w:cs="Times New Roman"/>
              </w:rPr>
              <w:t xml:space="preserve">Target to operate effectively, it basically obtains money for financing </w:t>
            </w:r>
            <w:r w:rsidR="008957AE" w:rsidRPr="00CC2FB0">
              <w:rPr>
                <w:rFonts w:ascii="Times New Roman" w:hAnsi="Times New Roman" w:cs="Times New Roman"/>
              </w:rPr>
              <w:t xml:space="preserve">operations through long-term debt. </w:t>
            </w:r>
          </w:p>
        </w:tc>
      </w:tr>
      <w:tr w:rsidR="00834C88" w:rsidRPr="00CC2FB0" w:rsidTr="008D1D55">
        <w:trPr>
          <w:trHeight w:val="87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Common Stock Dividends $ (+)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$2.36 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The Company had a 10.55% increase over previous year. Analysts expect an increase of 7.09% for next year to an estimated $2.36. </w:t>
            </w:r>
            <w:r w:rsidR="007E2193">
              <w:rPr>
                <w:rFonts w:ascii="Times New Roman" w:hAnsi="Times New Roman" w:cs="Times New Roman"/>
              </w:rPr>
              <w:t>The current dividend rate is at</w:t>
            </w:r>
            <w:r w:rsidR="00596EEE">
              <w:rPr>
                <w:rFonts w:ascii="Times New Roman" w:hAnsi="Times New Roman" w:cs="Times New Roman"/>
              </w:rPr>
              <w:t xml:space="preserve"> </w:t>
            </w:r>
            <w:r w:rsidR="007E2193">
              <w:rPr>
                <w:rFonts w:ascii="Times New Roman" w:hAnsi="Times New Roman" w:cs="Times New Roman"/>
              </w:rPr>
              <w:t>$</w:t>
            </w:r>
            <w:r w:rsidR="00FA554D">
              <w:rPr>
                <w:rFonts w:ascii="Times New Roman" w:hAnsi="Times New Roman" w:cs="Times New Roman"/>
              </w:rPr>
              <w:t xml:space="preserve">2.2. </w:t>
            </w:r>
          </w:p>
        </w:tc>
      </w:tr>
      <w:tr w:rsidR="00834C88" w:rsidRPr="00CC2FB0" w:rsidTr="008D1D55">
        <w:trPr>
          <w:trHeight w:val="78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(90% to </w:t>
            </w:r>
            <w:r w:rsidR="005622E7" w:rsidRPr="00CC2FB0">
              <w:rPr>
                <w:rFonts w:ascii="Times New Roman" w:hAnsi="Times New Roman" w:cs="Times New Roman"/>
              </w:rPr>
              <w:t>Paid-in Cap. &amp; 10% to Com. Stk.</w:t>
            </w:r>
            <w:r w:rsidRPr="00CC2FB0">
              <w:rPr>
                <w:rFonts w:ascii="Times New Roman" w:hAnsi="Times New Roman" w:cs="Times New Roman"/>
              </w:rPr>
              <w:t>) New Common Stock Issued $ (+)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$600.0 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Target is expected to issue approximately 600 million shares of common stock in 2017.</w:t>
            </w:r>
            <w:r w:rsidR="00EC74D0" w:rsidRPr="00CC2FB0">
              <w:rPr>
                <w:rFonts w:ascii="Times New Roman" w:hAnsi="Times New Roman" w:cs="Times New Roman"/>
              </w:rPr>
              <w:t xml:space="preserve"> The company has issued approximately over 600 million shares of common stock over the last two fiscal years, currently and it’s expected to be around that next year.</w:t>
            </w:r>
          </w:p>
        </w:tc>
      </w:tr>
      <w:tr w:rsidR="00834C88" w:rsidRPr="00CC2FB0" w:rsidTr="008D1D55">
        <w:trPr>
          <w:trHeight w:val="87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(90% from Paid-in Cap. &amp; 10% from Com. Stk.) Common Stock Repurchased $ (-)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$106.0 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Target would be expected to repurchase approximately 106 million shares of stock by the end of the second or third Quarter of 2017. </w:t>
            </w:r>
            <w:r w:rsidR="00433ECB">
              <w:rPr>
                <w:rFonts w:ascii="Times New Roman" w:hAnsi="Times New Roman" w:cs="Times New Roman"/>
              </w:rPr>
              <w:t>The price</w:t>
            </w:r>
            <w:r w:rsidR="00B46F9E">
              <w:rPr>
                <w:rFonts w:ascii="Times New Roman" w:hAnsi="Times New Roman" w:cs="Times New Roman"/>
              </w:rPr>
              <w:t xml:space="preserve"> of the common stock repurchases next year is likely to be around $70 per share</w:t>
            </w:r>
            <w:r w:rsidR="00FE774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34C88" w:rsidRPr="00CC2FB0" w:rsidTr="008D1D55">
        <w:trPr>
          <w:trHeight w:val="585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Preferred Stock Issued $ (+)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$0.0 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The company has 5 m preferred shares outstanding but none has been issued so far.</w:t>
            </w:r>
          </w:p>
        </w:tc>
      </w:tr>
      <w:tr w:rsidR="00834C88" w:rsidRPr="00CC2FB0" w:rsidTr="008D1D55">
        <w:trPr>
          <w:trHeight w:val="87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Tax Rate % (+)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-0.9%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The tax rate is expected to drop further next year by approximately 0.94% to around 30.66% due to increased tax saving incentives.</w:t>
            </w:r>
            <w:r w:rsidR="00796A0B">
              <w:rPr>
                <w:rFonts w:ascii="Times New Roman" w:hAnsi="Times New Roman" w:cs="Times New Roman"/>
              </w:rPr>
              <w:t xml:space="preserve"> Target Corp. </w:t>
            </w:r>
            <w:r w:rsidR="00CA1185">
              <w:rPr>
                <w:rFonts w:ascii="Times New Roman" w:hAnsi="Times New Roman" w:cs="Times New Roman"/>
              </w:rPr>
              <w:t xml:space="preserve">has been performing strategic planning which would lead to further decrease in the effective tax rate 2017. </w:t>
            </w:r>
          </w:p>
        </w:tc>
      </w:tr>
      <w:tr w:rsidR="00834C88" w:rsidRPr="00CC2FB0" w:rsidTr="008D1D55">
        <w:trPr>
          <w:trHeight w:val="638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Depreciation Rate as Percent of Gross Fixed Assets % (+)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3.7%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The depreciation rate is likely to increase by approximately 3.68 % as percent of Gross Fixed Assets.</w:t>
            </w:r>
            <w:r w:rsidR="008B4E13">
              <w:rPr>
                <w:rFonts w:ascii="Times New Roman" w:hAnsi="Times New Roman" w:cs="Times New Roman"/>
              </w:rPr>
              <w:t xml:space="preserve"> The depreciation rate increases annually by approximately 3.7% using the straight-line method. </w:t>
            </w:r>
          </w:p>
        </w:tc>
      </w:tr>
      <w:tr w:rsidR="00834C88" w:rsidRPr="00CC2FB0" w:rsidTr="008D1D55">
        <w:trPr>
          <w:trHeight w:val="87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Capital Investments / New Fixed Assets $ (+)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$0.0 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It's not likely that the Company would acquire new fixed assets while it's </w:t>
            </w:r>
            <w:r w:rsidR="00E20F25" w:rsidRPr="00CC2FB0">
              <w:rPr>
                <w:rFonts w:ascii="Times New Roman" w:hAnsi="Times New Roman" w:cs="Times New Roman"/>
              </w:rPr>
              <w:t>discontinuing</w:t>
            </w:r>
            <w:r w:rsidRPr="00CC2FB0">
              <w:rPr>
                <w:rFonts w:ascii="Times New Roman" w:hAnsi="Times New Roman" w:cs="Times New Roman"/>
              </w:rPr>
              <w:t xml:space="preserve"> some activities</w:t>
            </w:r>
            <w:r w:rsidR="008D1D55" w:rsidRPr="00CC2FB0">
              <w:rPr>
                <w:rFonts w:ascii="Times New Roman" w:hAnsi="Times New Roman" w:cs="Times New Roman"/>
              </w:rPr>
              <w:t xml:space="preserve"> and selling some invested assets</w:t>
            </w:r>
            <w:r w:rsidR="00B3797E" w:rsidRPr="00CC2FB0">
              <w:rPr>
                <w:rFonts w:ascii="Times New Roman" w:hAnsi="Times New Roman" w:cs="Times New Roman"/>
              </w:rPr>
              <w:t xml:space="preserve"> in some regions. </w:t>
            </w:r>
          </w:p>
        </w:tc>
      </w:tr>
      <w:tr w:rsidR="00834C88" w:rsidRPr="00CC2FB0" w:rsidTr="008D1D55">
        <w:trPr>
          <w:trHeight w:val="870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Interest Expense for Short-Term &amp; Long-Term Debt % (+)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0.56%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Target Corp doesn't have a specific trend of changes of interest but the current interest rate is likely to increase slightly by 0.56% next year.</w:t>
            </w:r>
            <w:r w:rsidR="008279C3">
              <w:rPr>
                <w:rFonts w:ascii="Times New Roman" w:hAnsi="Times New Roman" w:cs="Times New Roman"/>
              </w:rPr>
              <w:t xml:space="preserve"> Target Corp. has a good credit rating and a good financial historical record which enables it to obtain lower interest debts.</w:t>
            </w:r>
          </w:p>
        </w:tc>
      </w:tr>
      <w:tr w:rsidR="00834C88" w:rsidRPr="00CC2FB0" w:rsidTr="008D1D55">
        <w:trPr>
          <w:trHeight w:val="585"/>
        </w:trPr>
        <w:tc>
          <w:tcPr>
            <w:tcW w:w="3600" w:type="dxa"/>
            <w:gridSpan w:val="2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Interest Income % (+)</w:t>
            </w:r>
          </w:p>
        </w:tc>
        <w:tc>
          <w:tcPr>
            <w:tcW w:w="1530" w:type="dxa"/>
            <w:noWrap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6480" w:type="dxa"/>
            <w:hideMark/>
          </w:tcPr>
          <w:p w:rsidR="00834C88" w:rsidRPr="00CC2FB0" w:rsidRDefault="00834C88" w:rsidP="00834C88">
            <w:pPr>
              <w:rPr>
                <w:rFonts w:ascii="Times New Roman" w:hAnsi="Times New Roman" w:cs="Times New Roman"/>
              </w:rPr>
            </w:pPr>
            <w:r w:rsidRPr="00CC2FB0">
              <w:rPr>
                <w:rFonts w:ascii="Times New Roman" w:hAnsi="Times New Roman" w:cs="Times New Roman"/>
              </w:rPr>
              <w:t xml:space="preserve">The company has not received any interest income and is thus not likely to </w:t>
            </w:r>
            <w:r w:rsidR="00B47110" w:rsidRPr="00CC2FB0">
              <w:rPr>
                <w:rFonts w:ascii="Times New Roman" w:hAnsi="Times New Roman" w:cs="Times New Roman"/>
              </w:rPr>
              <w:t>receive</w:t>
            </w:r>
            <w:r w:rsidRPr="00CC2FB0">
              <w:rPr>
                <w:rFonts w:ascii="Times New Roman" w:hAnsi="Times New Roman" w:cs="Times New Roman"/>
              </w:rPr>
              <w:t xml:space="preserve"> it next. </w:t>
            </w:r>
          </w:p>
        </w:tc>
      </w:tr>
    </w:tbl>
    <w:p w:rsidR="006B5E2B" w:rsidRDefault="006B5E2B" w:rsidP="00324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6D2D" w:rsidRDefault="008D6D2D" w:rsidP="00292D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4E22" w:rsidRPr="00292D87" w:rsidRDefault="00324E22" w:rsidP="00292D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2D8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Explanation and Interpretation of Projected Financial</w:t>
      </w:r>
      <w:r w:rsidR="00292D87" w:rsidRPr="00292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Statements</w:t>
      </w:r>
    </w:p>
    <w:p w:rsidR="00F647EB" w:rsidRDefault="0071619F" w:rsidP="00B85D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of sales is currently at 70% of the total sales, </w:t>
      </w:r>
      <w:r w:rsidR="00C5083D">
        <w:rPr>
          <w:rFonts w:ascii="Times New Roman" w:hAnsi="Times New Roman" w:cs="Times New Roman"/>
          <w:sz w:val="24"/>
          <w:szCs w:val="24"/>
        </w:rPr>
        <w:t xml:space="preserve">this leaves the company with a Gross profit of only 30%. </w:t>
      </w:r>
      <w:r w:rsidR="0052416C">
        <w:rPr>
          <w:rFonts w:ascii="Times New Roman" w:hAnsi="Times New Roman" w:cs="Times New Roman"/>
          <w:sz w:val="24"/>
          <w:szCs w:val="24"/>
        </w:rPr>
        <w:t xml:space="preserve">The high costs of sales for the trailing 12 months </w:t>
      </w:r>
      <w:r w:rsidR="00DA6E76">
        <w:rPr>
          <w:rFonts w:ascii="Times New Roman" w:hAnsi="Times New Roman" w:cs="Times New Roman"/>
          <w:sz w:val="24"/>
          <w:szCs w:val="24"/>
        </w:rPr>
        <w:t xml:space="preserve">ended 30 Jul, 2016 was $50,321 while the sales were $71, 603. </w:t>
      </w:r>
      <w:r w:rsidR="00170EB2">
        <w:rPr>
          <w:rFonts w:ascii="Times New Roman" w:hAnsi="Times New Roman" w:cs="Times New Roman"/>
          <w:sz w:val="24"/>
          <w:szCs w:val="24"/>
        </w:rPr>
        <w:t>The SG&amp;</w:t>
      </w:r>
      <w:r w:rsidR="00D26C97">
        <w:rPr>
          <w:rFonts w:ascii="Times New Roman" w:hAnsi="Times New Roman" w:cs="Times New Roman"/>
          <w:sz w:val="24"/>
          <w:szCs w:val="24"/>
        </w:rPr>
        <w:t xml:space="preserve">A expenses were 66% which is very high. </w:t>
      </w:r>
      <w:r w:rsidR="00C9253C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04469F">
        <w:rPr>
          <w:rFonts w:ascii="Times New Roman" w:hAnsi="Times New Roman" w:cs="Times New Roman"/>
          <w:sz w:val="24"/>
          <w:szCs w:val="24"/>
        </w:rPr>
        <w:t>Guru Focus</w:t>
      </w:r>
      <w:r w:rsidR="00C9253C">
        <w:rPr>
          <w:rFonts w:ascii="Times New Roman" w:hAnsi="Times New Roman" w:cs="Times New Roman"/>
          <w:sz w:val="24"/>
          <w:szCs w:val="24"/>
        </w:rPr>
        <w:t xml:space="preserve">, </w:t>
      </w:r>
      <w:r w:rsidR="00411E59">
        <w:rPr>
          <w:rFonts w:ascii="Times New Roman" w:hAnsi="Times New Roman" w:cs="Times New Roman"/>
          <w:sz w:val="24"/>
          <w:szCs w:val="24"/>
        </w:rPr>
        <w:t xml:space="preserve">(2016) </w:t>
      </w:r>
      <w:r w:rsidR="002210CB">
        <w:rPr>
          <w:rFonts w:ascii="Times New Roman" w:hAnsi="Times New Roman" w:cs="Times New Roman"/>
          <w:sz w:val="24"/>
          <w:szCs w:val="24"/>
        </w:rPr>
        <w:t xml:space="preserve">high SG&amp;A expenses above 30% mean the firm operates in a very competitive environment as is the case with Target. </w:t>
      </w:r>
      <w:r w:rsidR="00CC61D2">
        <w:rPr>
          <w:rFonts w:ascii="Times New Roman" w:hAnsi="Times New Roman" w:cs="Times New Roman"/>
          <w:sz w:val="24"/>
          <w:szCs w:val="24"/>
        </w:rPr>
        <w:t>The inventories represent 23% of the total assets and 66%</w:t>
      </w:r>
      <w:r w:rsidR="0000187F">
        <w:rPr>
          <w:rFonts w:ascii="Times New Roman" w:hAnsi="Times New Roman" w:cs="Times New Roman"/>
          <w:sz w:val="24"/>
          <w:szCs w:val="24"/>
        </w:rPr>
        <w:t xml:space="preserve"> of the current assets. </w:t>
      </w:r>
      <w:r w:rsidR="00972518">
        <w:rPr>
          <w:rFonts w:ascii="Times New Roman" w:hAnsi="Times New Roman" w:cs="Times New Roman"/>
          <w:sz w:val="24"/>
          <w:szCs w:val="24"/>
        </w:rPr>
        <w:t xml:space="preserve">Cash is only 7% of the total assets and 21% of total current assets which shows that the company is not efficient enough. </w:t>
      </w:r>
      <w:r w:rsidR="00420127">
        <w:rPr>
          <w:rFonts w:ascii="Times New Roman" w:hAnsi="Times New Roman" w:cs="Times New Roman"/>
          <w:sz w:val="24"/>
          <w:szCs w:val="24"/>
        </w:rPr>
        <w:t xml:space="preserve">The </w:t>
      </w:r>
      <w:r w:rsidR="00D96E7F">
        <w:rPr>
          <w:rFonts w:ascii="Times New Roman" w:hAnsi="Times New Roman" w:cs="Times New Roman"/>
          <w:sz w:val="24"/>
          <w:szCs w:val="24"/>
        </w:rPr>
        <w:t xml:space="preserve">accounts payables of the company are </w:t>
      </w:r>
      <w:r w:rsidR="008526C3">
        <w:rPr>
          <w:rFonts w:ascii="Times New Roman" w:hAnsi="Times New Roman" w:cs="Times New Roman"/>
          <w:sz w:val="24"/>
          <w:szCs w:val="24"/>
        </w:rPr>
        <w:t xml:space="preserve">33% of the total liabilities. </w:t>
      </w:r>
      <w:r w:rsidR="003A3D46">
        <w:rPr>
          <w:rFonts w:ascii="Times New Roman" w:hAnsi="Times New Roman" w:cs="Times New Roman"/>
          <w:sz w:val="24"/>
          <w:szCs w:val="24"/>
        </w:rPr>
        <w:t xml:space="preserve">The notes payables are only 4% of the total liabilities with a greater portion being other being long-term debt of 45%. </w:t>
      </w:r>
    </w:p>
    <w:p w:rsidR="00554D62" w:rsidRDefault="00324E22" w:rsidP="00554D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7EB">
        <w:rPr>
          <w:rFonts w:ascii="Times New Roman" w:hAnsi="Times New Roman" w:cs="Times New Roman"/>
          <w:b/>
          <w:sz w:val="24"/>
          <w:szCs w:val="24"/>
          <w:u w:val="single"/>
        </w:rPr>
        <w:t>Explanation an Interpretation of Overall Forecast Results &amp; Financial Ratios</w:t>
      </w:r>
      <w:r w:rsidR="005A23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34DC0" w:rsidRPr="003C5328" w:rsidRDefault="00F352EF" w:rsidP="003C532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41BE">
        <w:rPr>
          <w:rFonts w:ascii="Times New Roman" w:hAnsi="Times New Roman" w:cs="Times New Roman"/>
          <w:sz w:val="24"/>
          <w:szCs w:val="24"/>
        </w:rPr>
        <w:t xml:space="preserve">The gross margin is only 30% which shows that the profitability is not very high due to high costs of sales. </w:t>
      </w:r>
      <w:r w:rsidR="0075567F" w:rsidRPr="004441BE">
        <w:rPr>
          <w:rFonts w:ascii="Times New Roman" w:hAnsi="Times New Roman" w:cs="Times New Roman"/>
          <w:sz w:val="24"/>
          <w:szCs w:val="24"/>
        </w:rPr>
        <w:t xml:space="preserve">The inventories turnover ratio is currently at 1.3 which means the company is overstocking to meet the unexpected demand and for high seasons. </w:t>
      </w:r>
      <w:r w:rsidR="00436FAC" w:rsidRPr="004441BE">
        <w:rPr>
          <w:rFonts w:ascii="Times New Roman" w:hAnsi="Times New Roman" w:cs="Times New Roman"/>
          <w:sz w:val="24"/>
          <w:szCs w:val="24"/>
        </w:rPr>
        <w:t xml:space="preserve">Target and its competitors usually experience changes </w:t>
      </w:r>
      <w:r w:rsidR="00FA505F" w:rsidRPr="004441BE">
        <w:rPr>
          <w:rFonts w:ascii="Times New Roman" w:hAnsi="Times New Roman" w:cs="Times New Roman"/>
          <w:sz w:val="24"/>
          <w:szCs w:val="24"/>
        </w:rPr>
        <w:t>in demand as the seasons change</w:t>
      </w:r>
      <w:r w:rsidR="00436FAC" w:rsidRPr="004441BE">
        <w:rPr>
          <w:rFonts w:ascii="Times New Roman" w:hAnsi="Times New Roman" w:cs="Times New Roman"/>
          <w:sz w:val="24"/>
          <w:szCs w:val="24"/>
        </w:rPr>
        <w:t xml:space="preserve">. </w:t>
      </w:r>
      <w:r w:rsidR="00B45ED7" w:rsidRPr="004441BE">
        <w:rPr>
          <w:rFonts w:ascii="Times New Roman" w:hAnsi="Times New Roman" w:cs="Times New Roman"/>
          <w:sz w:val="24"/>
          <w:szCs w:val="24"/>
        </w:rPr>
        <w:t>The quick ratio for the com</w:t>
      </w:r>
      <w:r w:rsidR="00C4519C" w:rsidRPr="004441BE">
        <w:rPr>
          <w:rFonts w:ascii="Times New Roman" w:hAnsi="Times New Roman" w:cs="Times New Roman"/>
          <w:sz w:val="24"/>
          <w:szCs w:val="24"/>
        </w:rPr>
        <w:t>pany is currently at 0.26 which is means Target is currently unable to meet its short-term debts as and w</w:t>
      </w:r>
      <w:r w:rsidR="004441BE" w:rsidRPr="004441BE">
        <w:rPr>
          <w:rFonts w:ascii="Times New Roman" w:hAnsi="Times New Roman" w:cs="Times New Roman"/>
          <w:sz w:val="24"/>
          <w:szCs w:val="24"/>
        </w:rPr>
        <w:t>h</w:t>
      </w:r>
      <w:r w:rsidR="00C4519C" w:rsidRPr="004441BE">
        <w:rPr>
          <w:rFonts w:ascii="Times New Roman" w:hAnsi="Times New Roman" w:cs="Times New Roman"/>
          <w:sz w:val="24"/>
          <w:szCs w:val="24"/>
        </w:rPr>
        <w:t xml:space="preserve">en they are due. </w:t>
      </w:r>
      <w:r w:rsidR="00A664A4">
        <w:rPr>
          <w:rFonts w:ascii="Times New Roman" w:hAnsi="Times New Roman" w:cs="Times New Roman"/>
          <w:sz w:val="24"/>
          <w:szCs w:val="24"/>
        </w:rPr>
        <w:t>ROA is currently 7% which means the assets are utiliz</w:t>
      </w:r>
      <w:r w:rsidR="00140500">
        <w:rPr>
          <w:rFonts w:ascii="Times New Roman" w:hAnsi="Times New Roman" w:cs="Times New Roman"/>
          <w:sz w:val="24"/>
          <w:szCs w:val="24"/>
        </w:rPr>
        <w:t xml:space="preserve">ed well while the ROE is 22.6% </w:t>
      </w:r>
      <w:r w:rsidR="00A664A4">
        <w:rPr>
          <w:rFonts w:ascii="Times New Roman" w:hAnsi="Times New Roman" w:cs="Times New Roman"/>
          <w:sz w:val="24"/>
          <w:szCs w:val="24"/>
        </w:rPr>
        <w:t xml:space="preserve">which is also desirable. </w:t>
      </w:r>
      <w:r w:rsidR="00971EE3" w:rsidRPr="004441BE">
        <w:rPr>
          <w:rFonts w:ascii="Times New Roman" w:hAnsi="Times New Roman" w:cs="Times New Roman"/>
          <w:sz w:val="24"/>
          <w:szCs w:val="24"/>
        </w:rPr>
        <w:t>The ratio of debt/equity for the company is currently 2.16 which shows that there’s high leverage.</w:t>
      </w:r>
      <w:r w:rsidR="00AE05AD" w:rsidRPr="004441BE">
        <w:rPr>
          <w:rFonts w:ascii="Times New Roman" w:hAnsi="Times New Roman" w:cs="Times New Roman"/>
          <w:sz w:val="24"/>
          <w:szCs w:val="24"/>
        </w:rPr>
        <w:t xml:space="preserve"> The company majorly relies on the financing from debt which is the main reason for this high ratio. </w:t>
      </w:r>
      <w:r w:rsidR="00255C55">
        <w:rPr>
          <w:rFonts w:ascii="Times New Roman" w:hAnsi="Times New Roman" w:cs="Times New Roman"/>
          <w:sz w:val="24"/>
          <w:szCs w:val="24"/>
        </w:rPr>
        <w:t xml:space="preserve">The performance of Target at the moment is not very good but it’s expected to outperform in the high season. </w:t>
      </w:r>
      <w:r w:rsidR="002649DB">
        <w:rPr>
          <w:rFonts w:ascii="Times New Roman" w:hAnsi="Times New Roman" w:cs="Times New Roman"/>
          <w:sz w:val="24"/>
          <w:szCs w:val="24"/>
        </w:rPr>
        <w:t>The investors are advised to hold their stock in Targe</w:t>
      </w:r>
      <w:r w:rsidR="00B85DF5">
        <w:rPr>
          <w:rFonts w:ascii="Times New Roman" w:hAnsi="Times New Roman" w:cs="Times New Roman"/>
          <w:sz w:val="24"/>
          <w:szCs w:val="24"/>
        </w:rPr>
        <w:t xml:space="preserve">t but not to shun away from it. </w:t>
      </w:r>
    </w:p>
    <w:p w:rsidR="00634DC0" w:rsidRDefault="00634DC0"/>
    <w:p w:rsidR="004348D8" w:rsidRDefault="0026268D" w:rsidP="00D22F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FA5">
        <w:rPr>
          <w:rFonts w:ascii="Times New Roman" w:hAnsi="Times New Roman" w:cs="Times New Roman"/>
          <w:b/>
          <w:sz w:val="24"/>
          <w:szCs w:val="24"/>
        </w:rPr>
        <w:t>Bibliography</w:t>
      </w:r>
    </w:p>
    <w:p w:rsidR="00A82A5A" w:rsidRPr="0097194D" w:rsidRDefault="00A82A5A" w:rsidP="00A82A5A">
      <w:pPr>
        <w:pStyle w:val="ListParagraph"/>
        <w:numPr>
          <w:ilvl w:val="0"/>
          <w:numId w:val="2"/>
        </w:numPr>
        <w:spacing w:line="480" w:lineRule="auto"/>
      </w:pPr>
      <w:r w:rsidRPr="00C8122B">
        <w:rPr>
          <w:rFonts w:ascii="Times New Roman" w:hAnsi="Times New Roman" w:cs="Times New Roman"/>
          <w:sz w:val="24"/>
          <w:szCs w:val="24"/>
        </w:rPr>
        <w:t>Incase no access</w:t>
      </w:r>
      <w:r w:rsidRPr="00E778E9">
        <w:rPr>
          <w:rFonts w:ascii="Times New Roman" w:hAnsi="Times New Roman" w:cs="Times New Roman"/>
          <w:sz w:val="24"/>
          <w:szCs w:val="24"/>
        </w:rPr>
        <w:t xml:space="preserve"> &gt;</w:t>
      </w:r>
      <w:r w:rsidRPr="00E778E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hyperlink r:id="rId5" w:history="1">
        <w:r w:rsidRPr="00E778E9">
          <w:rPr>
            <w:rStyle w:val="Hyperlink"/>
            <w:color w:val="FFFFFF" w:themeColor="background1"/>
          </w:rPr>
          <w:t>thaddaeusakama@gmail.com</w:t>
        </w:r>
      </w:hyperlink>
      <w:r>
        <w:t xml:space="preserve"> &lt;</w:t>
      </w:r>
    </w:p>
    <w:p w:rsidR="00D22FA5" w:rsidRDefault="004348D8" w:rsidP="00D22FA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2FA5">
        <w:rPr>
          <w:rFonts w:ascii="Times New Roman" w:hAnsi="Times New Roman" w:cs="Times New Roman"/>
          <w:sz w:val="24"/>
          <w:szCs w:val="24"/>
        </w:rPr>
        <w:t xml:space="preserve">Financial Times LTD. (2016). </w:t>
      </w:r>
      <w:r w:rsidRPr="00D22FA5">
        <w:rPr>
          <w:rFonts w:ascii="Times New Roman" w:hAnsi="Times New Roman" w:cs="Times New Roman"/>
          <w:i/>
          <w:sz w:val="24"/>
          <w:szCs w:val="24"/>
        </w:rPr>
        <w:t xml:space="preserve">Target Corp. forecasts. </w:t>
      </w:r>
      <w:r w:rsidRPr="00D22FA5">
        <w:rPr>
          <w:rFonts w:ascii="Times New Roman" w:hAnsi="Times New Roman" w:cs="Times New Roman"/>
          <w:sz w:val="24"/>
          <w:szCs w:val="24"/>
        </w:rPr>
        <w:t xml:space="preserve">Retrieved from </w:t>
      </w:r>
    </w:p>
    <w:p w:rsidR="00D22FA5" w:rsidRDefault="004348D8" w:rsidP="00D22FA5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2FA5">
        <w:rPr>
          <w:rFonts w:ascii="Times New Roman" w:hAnsi="Times New Roman" w:cs="Times New Roman"/>
          <w:sz w:val="24"/>
          <w:szCs w:val="24"/>
        </w:rPr>
        <w:t>markets.ft.com/data/equities/tearsheet/forecasts?s=TGT:NYQ</w:t>
      </w:r>
    </w:p>
    <w:p w:rsidR="00325163" w:rsidRDefault="00325163" w:rsidP="00D22FA5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2FA5" w:rsidRDefault="008F7FC0" w:rsidP="00D22FA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2FA5">
        <w:rPr>
          <w:rFonts w:ascii="Times New Roman" w:hAnsi="Times New Roman" w:cs="Times New Roman"/>
          <w:sz w:val="24"/>
          <w:szCs w:val="24"/>
        </w:rPr>
        <w:t xml:space="preserve">Guru Focus. (2016). </w:t>
      </w:r>
      <w:r w:rsidR="00E445A8" w:rsidRPr="00D22FA5">
        <w:rPr>
          <w:rFonts w:ascii="Times New Roman" w:hAnsi="Times New Roman" w:cs="Times New Roman"/>
          <w:sz w:val="24"/>
          <w:szCs w:val="24"/>
        </w:rPr>
        <w:t xml:space="preserve">Target Corp (TGT) analysis and valuations. </w:t>
      </w:r>
      <w:r w:rsidR="00C17146" w:rsidRPr="00D22FA5">
        <w:rPr>
          <w:rFonts w:ascii="Times New Roman" w:hAnsi="Times New Roman" w:cs="Times New Roman"/>
          <w:sz w:val="24"/>
          <w:szCs w:val="24"/>
        </w:rPr>
        <w:t xml:space="preserve">Retrieved from </w:t>
      </w:r>
    </w:p>
    <w:p w:rsidR="00D22FA5" w:rsidRDefault="00A82A5A" w:rsidP="00D22FA5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A386B" w:rsidRPr="00D22FA5">
          <w:rPr>
            <w:rStyle w:val="Hyperlink"/>
            <w:rFonts w:ascii="Times New Roman" w:hAnsi="Times New Roman" w:cs="Times New Roman"/>
            <w:sz w:val="24"/>
            <w:szCs w:val="24"/>
          </w:rPr>
          <w:t>www.gurufocus.com/analysis/TGT</w:t>
        </w:r>
      </w:hyperlink>
    </w:p>
    <w:p w:rsidR="00325163" w:rsidRDefault="00325163" w:rsidP="00D22FA5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2FA5" w:rsidRDefault="004348D8" w:rsidP="00D22FA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2FA5">
        <w:rPr>
          <w:rFonts w:ascii="Times New Roman" w:hAnsi="Times New Roman" w:cs="Times New Roman"/>
          <w:sz w:val="24"/>
          <w:szCs w:val="24"/>
        </w:rPr>
        <w:t xml:space="preserve">Pettypiece, S. (2016). </w:t>
      </w:r>
      <w:r w:rsidRPr="00D22FA5">
        <w:rPr>
          <w:rFonts w:ascii="Times New Roman" w:hAnsi="Times New Roman" w:cs="Times New Roman"/>
          <w:i/>
          <w:sz w:val="24"/>
          <w:szCs w:val="24"/>
        </w:rPr>
        <w:t xml:space="preserve">Target cuts annual forecasts after sales decline last quarter. </w:t>
      </w:r>
      <w:r w:rsidRPr="00D22FA5">
        <w:rPr>
          <w:rFonts w:ascii="Times New Roman" w:hAnsi="Times New Roman" w:cs="Times New Roman"/>
          <w:sz w:val="24"/>
          <w:szCs w:val="24"/>
        </w:rPr>
        <w:t xml:space="preserve">Retrieved </w:t>
      </w:r>
    </w:p>
    <w:p w:rsidR="00D22FA5" w:rsidRDefault="004348D8" w:rsidP="00D22FA5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22FA5">
        <w:rPr>
          <w:rFonts w:ascii="Times New Roman" w:hAnsi="Times New Roman" w:cs="Times New Roman"/>
          <w:sz w:val="24"/>
          <w:szCs w:val="24"/>
        </w:rPr>
        <w:t xml:space="preserve">from </w:t>
      </w:r>
      <w:hyperlink r:id="rId7" w:history="1">
        <w:r w:rsidR="00325163" w:rsidRPr="00961BF3">
          <w:rPr>
            <w:rStyle w:val="Hyperlink"/>
            <w:rFonts w:ascii="Times New Roman" w:hAnsi="Times New Roman" w:cs="Times New Roman"/>
            <w:sz w:val="24"/>
            <w:szCs w:val="24"/>
          </w:rPr>
          <w:t>www.bloomberg.com/news/articles/2016-08-17/target-cuts-annual-forecast-after-sales-decline-last-quarter</w:t>
        </w:r>
      </w:hyperlink>
    </w:p>
    <w:p w:rsidR="00325163" w:rsidRPr="00D22FA5" w:rsidRDefault="00325163" w:rsidP="00D22FA5">
      <w:pPr>
        <w:pStyle w:val="NoSpacing"/>
        <w:spacing w:line="480" w:lineRule="auto"/>
        <w:ind w:left="72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:rsidR="002F4B3F" w:rsidRPr="00D22FA5" w:rsidRDefault="00AF295A" w:rsidP="00D22FA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2FA5">
        <w:rPr>
          <w:rFonts w:ascii="Times New Roman" w:hAnsi="Times New Roman" w:cs="Times New Roman"/>
          <w:sz w:val="24"/>
          <w:szCs w:val="24"/>
        </w:rPr>
        <w:t xml:space="preserve">Yahoo Finance. (2016). </w:t>
      </w:r>
      <w:r w:rsidRPr="00D22FA5">
        <w:rPr>
          <w:rFonts w:ascii="Times New Roman" w:hAnsi="Times New Roman" w:cs="Times New Roman"/>
          <w:i/>
          <w:sz w:val="24"/>
          <w:szCs w:val="24"/>
        </w:rPr>
        <w:t xml:space="preserve">Target analyst estimates. </w:t>
      </w:r>
      <w:r w:rsidR="00222F21" w:rsidRPr="00D22FA5">
        <w:rPr>
          <w:rFonts w:ascii="Times New Roman" w:hAnsi="Times New Roman" w:cs="Times New Roman"/>
          <w:sz w:val="24"/>
          <w:szCs w:val="24"/>
        </w:rPr>
        <w:t>Retrieved from finance.yahoo.com/q/ae?s=TGT+Analyst+Estimates</w:t>
      </w:r>
    </w:p>
    <w:p w:rsidR="00222F21" w:rsidRPr="00D22FA5" w:rsidRDefault="00222F21" w:rsidP="00D22F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C5E16" w:rsidRPr="00D22FA5" w:rsidRDefault="001C5E16" w:rsidP="00D22F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1C5E16" w:rsidRPr="00D22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E1E6D"/>
    <w:multiLevelType w:val="hybridMultilevel"/>
    <w:tmpl w:val="CD4EC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235CBD"/>
    <w:multiLevelType w:val="hybridMultilevel"/>
    <w:tmpl w:val="A81CE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22"/>
    <w:rsid w:val="0000187F"/>
    <w:rsid w:val="00003EDF"/>
    <w:rsid w:val="0004469F"/>
    <w:rsid w:val="0009126A"/>
    <w:rsid w:val="000A005A"/>
    <w:rsid w:val="000B5E91"/>
    <w:rsid w:val="000E43C2"/>
    <w:rsid w:val="000E77F6"/>
    <w:rsid w:val="00116D9D"/>
    <w:rsid w:val="00125B40"/>
    <w:rsid w:val="00140500"/>
    <w:rsid w:val="00155DFB"/>
    <w:rsid w:val="00170EB2"/>
    <w:rsid w:val="00184555"/>
    <w:rsid w:val="0018588E"/>
    <w:rsid w:val="001B7061"/>
    <w:rsid w:val="001C5E16"/>
    <w:rsid w:val="001E7AB7"/>
    <w:rsid w:val="00207162"/>
    <w:rsid w:val="002175C1"/>
    <w:rsid w:val="002210CB"/>
    <w:rsid w:val="00222F21"/>
    <w:rsid w:val="00224CE2"/>
    <w:rsid w:val="002320DF"/>
    <w:rsid w:val="00235FE5"/>
    <w:rsid w:val="00250E06"/>
    <w:rsid w:val="00255C55"/>
    <w:rsid w:val="0026268D"/>
    <w:rsid w:val="002649DB"/>
    <w:rsid w:val="00292D87"/>
    <w:rsid w:val="002E76CB"/>
    <w:rsid w:val="002F4B3F"/>
    <w:rsid w:val="003009FB"/>
    <w:rsid w:val="003024B4"/>
    <w:rsid w:val="00321144"/>
    <w:rsid w:val="00322654"/>
    <w:rsid w:val="00324E22"/>
    <w:rsid w:val="00325163"/>
    <w:rsid w:val="003317BE"/>
    <w:rsid w:val="00340173"/>
    <w:rsid w:val="00344ADE"/>
    <w:rsid w:val="0034512F"/>
    <w:rsid w:val="003562E2"/>
    <w:rsid w:val="003A386B"/>
    <w:rsid w:val="003A3D46"/>
    <w:rsid w:val="003B1894"/>
    <w:rsid w:val="003C5328"/>
    <w:rsid w:val="003F7339"/>
    <w:rsid w:val="00411E59"/>
    <w:rsid w:val="004124C0"/>
    <w:rsid w:val="00415BFE"/>
    <w:rsid w:val="00420127"/>
    <w:rsid w:val="00433ECB"/>
    <w:rsid w:val="004348D8"/>
    <w:rsid w:val="00435FF3"/>
    <w:rsid w:val="00436FAC"/>
    <w:rsid w:val="004441BE"/>
    <w:rsid w:val="004B67F6"/>
    <w:rsid w:val="00523C17"/>
    <w:rsid w:val="0052416C"/>
    <w:rsid w:val="005339C5"/>
    <w:rsid w:val="00554D62"/>
    <w:rsid w:val="005622E7"/>
    <w:rsid w:val="0057714F"/>
    <w:rsid w:val="0058046C"/>
    <w:rsid w:val="00596EEE"/>
    <w:rsid w:val="005A23CD"/>
    <w:rsid w:val="005D36D8"/>
    <w:rsid w:val="005E53A9"/>
    <w:rsid w:val="00603BD2"/>
    <w:rsid w:val="006248D7"/>
    <w:rsid w:val="00634DC0"/>
    <w:rsid w:val="00654C71"/>
    <w:rsid w:val="00671AA9"/>
    <w:rsid w:val="00673D24"/>
    <w:rsid w:val="00673E5B"/>
    <w:rsid w:val="006B5E2B"/>
    <w:rsid w:val="006D13F0"/>
    <w:rsid w:val="006D3A74"/>
    <w:rsid w:val="006F56E2"/>
    <w:rsid w:val="007128B8"/>
    <w:rsid w:val="0071619F"/>
    <w:rsid w:val="007217A2"/>
    <w:rsid w:val="007342CE"/>
    <w:rsid w:val="0075567F"/>
    <w:rsid w:val="00763861"/>
    <w:rsid w:val="007664BD"/>
    <w:rsid w:val="00795003"/>
    <w:rsid w:val="00796A0B"/>
    <w:rsid w:val="007B2342"/>
    <w:rsid w:val="007B6B34"/>
    <w:rsid w:val="007C25AF"/>
    <w:rsid w:val="007C4D6C"/>
    <w:rsid w:val="007E074B"/>
    <w:rsid w:val="007E2193"/>
    <w:rsid w:val="008279C3"/>
    <w:rsid w:val="00833627"/>
    <w:rsid w:val="00834C88"/>
    <w:rsid w:val="008526C3"/>
    <w:rsid w:val="0086257D"/>
    <w:rsid w:val="00871840"/>
    <w:rsid w:val="008957AE"/>
    <w:rsid w:val="008B4E13"/>
    <w:rsid w:val="008C297F"/>
    <w:rsid w:val="008D1D55"/>
    <w:rsid w:val="008D6D2D"/>
    <w:rsid w:val="008E0D9C"/>
    <w:rsid w:val="008E2045"/>
    <w:rsid w:val="008F7FC0"/>
    <w:rsid w:val="009027B1"/>
    <w:rsid w:val="0097194D"/>
    <w:rsid w:val="00971EE3"/>
    <w:rsid w:val="00972518"/>
    <w:rsid w:val="00975DD4"/>
    <w:rsid w:val="009A6987"/>
    <w:rsid w:val="009F53A2"/>
    <w:rsid w:val="00A06B7F"/>
    <w:rsid w:val="00A2346C"/>
    <w:rsid w:val="00A27528"/>
    <w:rsid w:val="00A51FB7"/>
    <w:rsid w:val="00A527AB"/>
    <w:rsid w:val="00A664A4"/>
    <w:rsid w:val="00A82A5A"/>
    <w:rsid w:val="00A919B4"/>
    <w:rsid w:val="00AB03D5"/>
    <w:rsid w:val="00AB52C7"/>
    <w:rsid w:val="00AB5EBC"/>
    <w:rsid w:val="00AC6890"/>
    <w:rsid w:val="00AE05AD"/>
    <w:rsid w:val="00AE2142"/>
    <w:rsid w:val="00AE4E3B"/>
    <w:rsid w:val="00AF295A"/>
    <w:rsid w:val="00B11DA1"/>
    <w:rsid w:val="00B13D97"/>
    <w:rsid w:val="00B26990"/>
    <w:rsid w:val="00B31F9C"/>
    <w:rsid w:val="00B3797E"/>
    <w:rsid w:val="00B427E9"/>
    <w:rsid w:val="00B438AE"/>
    <w:rsid w:val="00B45ED7"/>
    <w:rsid w:val="00B46F9E"/>
    <w:rsid w:val="00B47110"/>
    <w:rsid w:val="00B54E55"/>
    <w:rsid w:val="00B653E6"/>
    <w:rsid w:val="00B85DF5"/>
    <w:rsid w:val="00B916AB"/>
    <w:rsid w:val="00B936DB"/>
    <w:rsid w:val="00B952F1"/>
    <w:rsid w:val="00BD4785"/>
    <w:rsid w:val="00BE5AD4"/>
    <w:rsid w:val="00BE7A0D"/>
    <w:rsid w:val="00C17146"/>
    <w:rsid w:val="00C4519C"/>
    <w:rsid w:val="00C5083D"/>
    <w:rsid w:val="00C71F23"/>
    <w:rsid w:val="00C8122B"/>
    <w:rsid w:val="00C87E27"/>
    <w:rsid w:val="00C9253C"/>
    <w:rsid w:val="00CA1185"/>
    <w:rsid w:val="00CB6818"/>
    <w:rsid w:val="00CC18C1"/>
    <w:rsid w:val="00CC2713"/>
    <w:rsid w:val="00CC2FB0"/>
    <w:rsid w:val="00CC61D2"/>
    <w:rsid w:val="00CF46CF"/>
    <w:rsid w:val="00D03F50"/>
    <w:rsid w:val="00D11C6D"/>
    <w:rsid w:val="00D1239A"/>
    <w:rsid w:val="00D22FA5"/>
    <w:rsid w:val="00D26C97"/>
    <w:rsid w:val="00D46F81"/>
    <w:rsid w:val="00D96E7F"/>
    <w:rsid w:val="00DA6E76"/>
    <w:rsid w:val="00E037D9"/>
    <w:rsid w:val="00E20F25"/>
    <w:rsid w:val="00E336A5"/>
    <w:rsid w:val="00E445A8"/>
    <w:rsid w:val="00E778E9"/>
    <w:rsid w:val="00E94ECB"/>
    <w:rsid w:val="00E95840"/>
    <w:rsid w:val="00EC37F6"/>
    <w:rsid w:val="00EC74D0"/>
    <w:rsid w:val="00ED7FC9"/>
    <w:rsid w:val="00F31769"/>
    <w:rsid w:val="00F339B6"/>
    <w:rsid w:val="00F34747"/>
    <w:rsid w:val="00F352EF"/>
    <w:rsid w:val="00F528F9"/>
    <w:rsid w:val="00F5318B"/>
    <w:rsid w:val="00F6172F"/>
    <w:rsid w:val="00F647EB"/>
    <w:rsid w:val="00F71658"/>
    <w:rsid w:val="00FA505F"/>
    <w:rsid w:val="00FA554D"/>
    <w:rsid w:val="00FA6716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AAFB3-9581-458E-B2B2-6260DF80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4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2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thaddaeusakama@gmail.com"/>
  <Relationship Id="rId6" Type="http://schemas.openxmlformats.org/officeDocument/2006/relationships/hyperlink" TargetMode="External" Target="http://www.gurufocus.com/analysis/TGT"/>
  <Relationship Id="rId7" Type="http://schemas.openxmlformats.org/officeDocument/2006/relationships/hyperlink" TargetMode="External" Target="http://www.bloomberg.com/news/articles/2016-08-17/target-cuts-annual-forecast-after-sales-decline-last-quarter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1538</Words>
  <Characters>8771</Characters>
  <Application/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