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F2E" w:rsidRDefault="003C4F2E" w:rsidP="003C4F2E">
      <w:pPr>
        <w:spacing w:before="240" w:line="480" w:lineRule="auto"/>
        <w:jc w:val="center"/>
        <w:rPr>
          <w:rFonts w:ascii="Times New Roman" w:hAnsi="Times New Roman" w:cs="Times New Roman"/>
          <w:b/>
          <w:sz w:val="24"/>
          <w:szCs w:val="24"/>
        </w:rPr>
      </w:pPr>
    </w:p>
    <w:p w:rsidR="003C4F2E" w:rsidRDefault="003C4F2E" w:rsidP="003C4F2E">
      <w:pPr>
        <w:spacing w:before="240" w:line="480" w:lineRule="auto"/>
        <w:jc w:val="center"/>
        <w:rPr>
          <w:rFonts w:ascii="Times New Roman" w:hAnsi="Times New Roman" w:cs="Times New Roman"/>
          <w:b/>
          <w:sz w:val="24"/>
          <w:szCs w:val="24"/>
        </w:rPr>
      </w:pPr>
    </w:p>
    <w:p w:rsidR="003C4F2E" w:rsidRDefault="003C4F2E" w:rsidP="003C4F2E">
      <w:pPr>
        <w:spacing w:before="240" w:line="480" w:lineRule="auto"/>
        <w:jc w:val="center"/>
        <w:rPr>
          <w:rFonts w:ascii="Times New Roman" w:hAnsi="Times New Roman" w:cs="Times New Roman"/>
          <w:b/>
          <w:sz w:val="24"/>
          <w:szCs w:val="24"/>
        </w:rPr>
      </w:pPr>
    </w:p>
    <w:p w:rsidR="003C4F2E" w:rsidRDefault="003C4F2E" w:rsidP="003C4F2E">
      <w:pPr>
        <w:spacing w:before="240" w:line="480" w:lineRule="auto"/>
        <w:jc w:val="center"/>
        <w:rPr>
          <w:rFonts w:ascii="Times New Roman" w:hAnsi="Times New Roman" w:cs="Times New Roman"/>
          <w:b/>
          <w:sz w:val="24"/>
          <w:szCs w:val="24"/>
        </w:rPr>
      </w:pPr>
    </w:p>
    <w:p w:rsidR="003C4F2E" w:rsidRDefault="003C4F2E" w:rsidP="003C4F2E">
      <w:pPr>
        <w:spacing w:before="240" w:line="480" w:lineRule="auto"/>
        <w:jc w:val="center"/>
        <w:rPr>
          <w:rFonts w:ascii="Times New Roman" w:hAnsi="Times New Roman" w:cs="Times New Roman"/>
          <w:b/>
          <w:sz w:val="24"/>
          <w:szCs w:val="24"/>
        </w:rPr>
      </w:pPr>
    </w:p>
    <w:p w:rsidR="00121B70" w:rsidRPr="003C4F2E" w:rsidRDefault="00121B70" w:rsidP="003C4F2E">
      <w:pPr>
        <w:spacing w:before="240" w:line="480" w:lineRule="auto"/>
        <w:jc w:val="center"/>
        <w:rPr>
          <w:rFonts w:ascii="Times New Roman" w:hAnsi="Times New Roman" w:cs="Times New Roman"/>
          <w:b/>
          <w:sz w:val="24"/>
          <w:szCs w:val="24"/>
        </w:rPr>
      </w:pPr>
      <w:r w:rsidRPr="003C4F2E">
        <w:rPr>
          <w:rFonts w:ascii="Times New Roman" w:hAnsi="Times New Roman" w:cs="Times New Roman"/>
          <w:b/>
          <w:sz w:val="24"/>
          <w:szCs w:val="24"/>
        </w:rPr>
        <w:t>Week 3: Final Project Paper</w:t>
      </w:r>
    </w:p>
    <w:p w:rsidR="00121B70" w:rsidRPr="003C4F2E" w:rsidRDefault="00121B70" w:rsidP="003C4F2E">
      <w:pPr>
        <w:spacing w:before="240" w:line="480" w:lineRule="auto"/>
        <w:jc w:val="center"/>
        <w:rPr>
          <w:rFonts w:ascii="Times New Roman" w:hAnsi="Times New Roman" w:cs="Times New Roman"/>
          <w:sz w:val="24"/>
          <w:szCs w:val="24"/>
        </w:rPr>
      </w:pPr>
      <w:r w:rsidRPr="003C4F2E">
        <w:rPr>
          <w:rFonts w:ascii="Times New Roman" w:hAnsi="Times New Roman" w:cs="Times New Roman"/>
          <w:sz w:val="24"/>
          <w:szCs w:val="24"/>
        </w:rPr>
        <w:t>Name</w:t>
      </w:r>
    </w:p>
    <w:p w:rsidR="00121B70" w:rsidRPr="003C4F2E" w:rsidRDefault="00121B70" w:rsidP="003C4F2E">
      <w:pPr>
        <w:spacing w:before="240" w:line="480" w:lineRule="auto"/>
        <w:jc w:val="center"/>
        <w:rPr>
          <w:rFonts w:ascii="Times New Roman" w:hAnsi="Times New Roman" w:cs="Times New Roman"/>
          <w:sz w:val="24"/>
          <w:szCs w:val="24"/>
        </w:rPr>
      </w:pPr>
      <w:r w:rsidRPr="003C4F2E">
        <w:rPr>
          <w:rFonts w:ascii="Times New Roman" w:hAnsi="Times New Roman" w:cs="Times New Roman"/>
          <w:sz w:val="24"/>
          <w:szCs w:val="24"/>
        </w:rPr>
        <w:t>Date</w:t>
      </w:r>
    </w:p>
    <w:p w:rsidR="00121B70" w:rsidRPr="003C4F2E" w:rsidRDefault="00121B70" w:rsidP="003C4F2E">
      <w:pPr>
        <w:spacing w:before="240" w:line="480" w:lineRule="auto"/>
        <w:jc w:val="center"/>
        <w:rPr>
          <w:rFonts w:ascii="Times New Roman" w:hAnsi="Times New Roman" w:cs="Times New Roman"/>
          <w:sz w:val="24"/>
          <w:szCs w:val="24"/>
        </w:rPr>
      </w:pPr>
      <w:r w:rsidRPr="003C4F2E">
        <w:rPr>
          <w:rFonts w:ascii="Times New Roman" w:hAnsi="Times New Roman" w:cs="Times New Roman"/>
          <w:sz w:val="24"/>
          <w:szCs w:val="24"/>
        </w:rPr>
        <w:t>Institution</w:t>
      </w:r>
    </w:p>
    <w:p w:rsidR="003C4F2E" w:rsidRDefault="003C4F2E" w:rsidP="003C4F2E">
      <w:pPr>
        <w:spacing w:line="480" w:lineRule="auto"/>
        <w:rPr>
          <w:rFonts w:ascii="Times New Roman" w:hAnsi="Times New Roman" w:cs="Times New Roman"/>
          <w:b/>
          <w:sz w:val="24"/>
          <w:szCs w:val="24"/>
        </w:rPr>
      </w:pPr>
    </w:p>
    <w:p w:rsidR="003C4F2E" w:rsidRDefault="003C4F2E" w:rsidP="003C4F2E">
      <w:pPr>
        <w:spacing w:line="480" w:lineRule="auto"/>
        <w:rPr>
          <w:rFonts w:ascii="Times New Roman" w:hAnsi="Times New Roman" w:cs="Times New Roman"/>
          <w:b/>
          <w:sz w:val="24"/>
          <w:szCs w:val="24"/>
        </w:rPr>
      </w:pPr>
    </w:p>
    <w:p w:rsidR="003C4F2E" w:rsidRDefault="003C4F2E" w:rsidP="003C4F2E">
      <w:pPr>
        <w:spacing w:line="480" w:lineRule="auto"/>
        <w:rPr>
          <w:rFonts w:ascii="Times New Roman" w:hAnsi="Times New Roman" w:cs="Times New Roman"/>
          <w:b/>
          <w:sz w:val="24"/>
          <w:szCs w:val="24"/>
        </w:rPr>
      </w:pPr>
    </w:p>
    <w:p w:rsidR="003C4F2E" w:rsidRDefault="003C4F2E" w:rsidP="003C4F2E">
      <w:pPr>
        <w:spacing w:line="480" w:lineRule="auto"/>
        <w:rPr>
          <w:rFonts w:ascii="Times New Roman" w:hAnsi="Times New Roman" w:cs="Times New Roman"/>
          <w:b/>
          <w:sz w:val="24"/>
          <w:szCs w:val="24"/>
        </w:rPr>
      </w:pPr>
    </w:p>
    <w:p w:rsidR="003C4F2E" w:rsidRDefault="003C4F2E" w:rsidP="003C4F2E">
      <w:pPr>
        <w:spacing w:line="480" w:lineRule="auto"/>
        <w:rPr>
          <w:rFonts w:ascii="Times New Roman" w:hAnsi="Times New Roman" w:cs="Times New Roman"/>
          <w:b/>
          <w:sz w:val="24"/>
          <w:szCs w:val="24"/>
        </w:rPr>
      </w:pPr>
    </w:p>
    <w:p w:rsidR="003C4F2E" w:rsidRDefault="003C4F2E" w:rsidP="003C4F2E">
      <w:pPr>
        <w:spacing w:line="480" w:lineRule="auto"/>
        <w:rPr>
          <w:rFonts w:ascii="Times New Roman" w:hAnsi="Times New Roman" w:cs="Times New Roman"/>
          <w:b/>
          <w:sz w:val="24"/>
          <w:szCs w:val="24"/>
        </w:rPr>
      </w:pPr>
    </w:p>
    <w:p w:rsidR="003C4F2E" w:rsidRDefault="003C4F2E" w:rsidP="003C4F2E">
      <w:pPr>
        <w:spacing w:line="480" w:lineRule="auto"/>
        <w:rPr>
          <w:rFonts w:ascii="Times New Roman" w:hAnsi="Times New Roman" w:cs="Times New Roman"/>
          <w:b/>
          <w:sz w:val="24"/>
          <w:szCs w:val="24"/>
        </w:rPr>
      </w:pPr>
    </w:p>
    <w:p w:rsidR="00CB65D5" w:rsidRPr="003C4F2E" w:rsidRDefault="00121B70" w:rsidP="003C4F2E">
      <w:pPr>
        <w:spacing w:line="480" w:lineRule="auto"/>
        <w:jc w:val="center"/>
        <w:rPr>
          <w:rFonts w:ascii="Times New Roman" w:hAnsi="Times New Roman" w:cs="Times New Roman"/>
          <w:b/>
          <w:sz w:val="24"/>
          <w:szCs w:val="24"/>
        </w:rPr>
      </w:pPr>
      <w:r w:rsidRPr="003C4F2E">
        <w:rPr>
          <w:rFonts w:ascii="Times New Roman" w:hAnsi="Times New Roman" w:cs="Times New Roman"/>
          <w:b/>
          <w:sz w:val="24"/>
          <w:szCs w:val="24"/>
        </w:rPr>
        <w:lastRenderedPageBreak/>
        <w:t>Two Largest Investing Activities and Financing Activities of Barclays PLC and Lloyds Banking Group</w:t>
      </w:r>
    </w:p>
    <w:p w:rsidR="00121B70" w:rsidRPr="003C4F2E" w:rsidRDefault="00121B70" w:rsidP="003C4F2E">
      <w:pPr>
        <w:spacing w:after="0" w:line="480" w:lineRule="auto"/>
        <w:ind w:firstLine="720"/>
        <w:rPr>
          <w:rFonts w:ascii="Times New Roman" w:hAnsi="Times New Roman" w:cs="Times New Roman"/>
          <w:sz w:val="24"/>
          <w:szCs w:val="24"/>
        </w:rPr>
      </w:pPr>
      <w:r w:rsidRPr="003C4F2E">
        <w:rPr>
          <w:rFonts w:ascii="Times New Roman" w:hAnsi="Times New Roman" w:cs="Times New Roman"/>
          <w:sz w:val="24"/>
          <w:szCs w:val="24"/>
        </w:rPr>
        <w:t xml:space="preserve">According to research, each bank has varied activities with the highest financing and investing activities. The data </w:t>
      </w:r>
      <w:r w:rsidRPr="003C4F2E">
        <w:rPr>
          <w:rFonts w:ascii="Times New Roman" w:hAnsi="Times New Roman" w:cs="Times New Roman"/>
          <w:noProof/>
          <w:sz w:val="24"/>
          <w:szCs w:val="24"/>
        </w:rPr>
        <w:t>is summarized</w:t>
      </w:r>
      <w:r w:rsidRPr="003C4F2E">
        <w:rPr>
          <w:rFonts w:ascii="Times New Roman" w:hAnsi="Times New Roman" w:cs="Times New Roman"/>
          <w:sz w:val="24"/>
          <w:szCs w:val="24"/>
        </w:rPr>
        <w:t xml:space="preserve"> in the table below. </w:t>
      </w:r>
    </w:p>
    <w:p w:rsidR="00121B70" w:rsidRPr="003C4F2E" w:rsidRDefault="00121B70" w:rsidP="003C4F2E">
      <w:pPr>
        <w:pStyle w:val="Caption"/>
        <w:spacing w:after="0" w:line="480" w:lineRule="auto"/>
        <w:rPr>
          <w:b/>
          <w:color w:val="auto"/>
          <w:sz w:val="24"/>
          <w:szCs w:val="24"/>
        </w:rPr>
      </w:pPr>
      <w:r w:rsidRPr="003C4F2E">
        <w:rPr>
          <w:b/>
          <w:color w:val="auto"/>
          <w:sz w:val="24"/>
          <w:szCs w:val="24"/>
        </w:rPr>
        <w:t xml:space="preserve">Table </w:t>
      </w:r>
      <w:r w:rsidRPr="003C4F2E">
        <w:rPr>
          <w:b/>
          <w:color w:val="auto"/>
          <w:sz w:val="24"/>
          <w:szCs w:val="24"/>
        </w:rPr>
        <w:fldChar w:fldCharType="begin"/>
      </w:r>
      <w:r w:rsidRPr="003C4F2E">
        <w:rPr>
          <w:b/>
          <w:color w:val="auto"/>
          <w:sz w:val="24"/>
          <w:szCs w:val="24"/>
        </w:rPr>
        <w:instrText xml:space="preserve"> SEQ Table \* ARABIC </w:instrText>
      </w:r>
      <w:r w:rsidRPr="003C4F2E">
        <w:rPr>
          <w:b/>
          <w:color w:val="auto"/>
          <w:sz w:val="24"/>
          <w:szCs w:val="24"/>
        </w:rPr>
        <w:fldChar w:fldCharType="separate"/>
      </w:r>
      <w:r w:rsidR="00AA3D11">
        <w:rPr>
          <w:b/>
          <w:noProof/>
          <w:color w:val="auto"/>
          <w:sz w:val="24"/>
          <w:szCs w:val="24"/>
        </w:rPr>
        <w:t>1</w:t>
      </w:r>
      <w:r w:rsidRPr="003C4F2E">
        <w:rPr>
          <w:b/>
          <w:color w:val="auto"/>
          <w:sz w:val="24"/>
          <w:szCs w:val="24"/>
        </w:rPr>
        <w:fldChar w:fldCharType="end"/>
      </w:r>
      <w:r w:rsidRPr="003C4F2E">
        <w:rPr>
          <w:b/>
          <w:color w:val="auto"/>
          <w:sz w:val="24"/>
          <w:szCs w:val="24"/>
        </w:rPr>
        <w:t>: Investing activities and financing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2371"/>
        <w:gridCol w:w="1366"/>
        <w:gridCol w:w="1737"/>
        <w:gridCol w:w="1367"/>
        <w:gridCol w:w="1367"/>
      </w:tblGrid>
      <w:tr w:rsidR="00121B70" w:rsidRPr="003C4F2E" w:rsidTr="002A5377">
        <w:tc>
          <w:tcPr>
            <w:tcW w:w="714"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 xml:space="preserve">Company </w:t>
            </w:r>
          </w:p>
        </w:tc>
        <w:tc>
          <w:tcPr>
            <w:tcW w:w="1238" w:type="pct"/>
            <w:shd w:val="clear" w:color="auto" w:fill="auto"/>
          </w:tcPr>
          <w:p w:rsidR="00121B70" w:rsidRPr="003C4F2E" w:rsidRDefault="00121B70" w:rsidP="003C4F2E">
            <w:pPr>
              <w:spacing w:after="0" w:line="480" w:lineRule="auto"/>
              <w:rPr>
                <w:rFonts w:ascii="Times New Roman" w:hAnsi="Times New Roman" w:cs="Times New Roman"/>
                <w:b/>
                <w:sz w:val="24"/>
                <w:szCs w:val="24"/>
              </w:rPr>
            </w:pPr>
            <w:r w:rsidRPr="003C4F2E">
              <w:rPr>
                <w:rFonts w:ascii="Times New Roman" w:hAnsi="Times New Roman" w:cs="Times New Roman"/>
                <w:b/>
                <w:sz w:val="24"/>
                <w:szCs w:val="24"/>
              </w:rPr>
              <w:t>Financing Activity (2015)</w:t>
            </w:r>
          </w:p>
        </w:tc>
        <w:tc>
          <w:tcPr>
            <w:tcW w:w="713" w:type="pct"/>
            <w:shd w:val="clear" w:color="auto" w:fill="auto"/>
          </w:tcPr>
          <w:p w:rsidR="00121B70" w:rsidRPr="003C4F2E" w:rsidRDefault="00121B70" w:rsidP="003C4F2E">
            <w:pPr>
              <w:spacing w:after="0" w:line="480" w:lineRule="auto"/>
              <w:rPr>
                <w:rFonts w:ascii="Times New Roman" w:hAnsi="Times New Roman" w:cs="Times New Roman"/>
                <w:b/>
                <w:sz w:val="24"/>
                <w:szCs w:val="24"/>
              </w:rPr>
            </w:pPr>
            <w:r w:rsidRPr="003C4F2E">
              <w:rPr>
                <w:rFonts w:ascii="Times New Roman" w:hAnsi="Times New Roman" w:cs="Times New Roman"/>
                <w:b/>
                <w:sz w:val="24"/>
                <w:szCs w:val="24"/>
              </w:rPr>
              <w:t>Amount in USD</w:t>
            </w:r>
          </w:p>
        </w:tc>
        <w:tc>
          <w:tcPr>
            <w:tcW w:w="907" w:type="pct"/>
            <w:shd w:val="clear" w:color="auto" w:fill="auto"/>
          </w:tcPr>
          <w:p w:rsidR="00121B70" w:rsidRPr="003C4F2E" w:rsidRDefault="00121B70" w:rsidP="003C4F2E">
            <w:pPr>
              <w:spacing w:after="0" w:line="480" w:lineRule="auto"/>
              <w:rPr>
                <w:rFonts w:ascii="Times New Roman" w:hAnsi="Times New Roman" w:cs="Times New Roman"/>
                <w:b/>
                <w:sz w:val="24"/>
                <w:szCs w:val="24"/>
              </w:rPr>
            </w:pPr>
            <w:r w:rsidRPr="003C4F2E">
              <w:rPr>
                <w:rFonts w:ascii="Times New Roman" w:hAnsi="Times New Roman" w:cs="Times New Roman"/>
                <w:b/>
                <w:sz w:val="24"/>
                <w:szCs w:val="24"/>
              </w:rPr>
              <w:t>Investing Activity (2015)</w:t>
            </w:r>
          </w:p>
        </w:tc>
        <w:tc>
          <w:tcPr>
            <w:tcW w:w="714" w:type="pct"/>
            <w:shd w:val="clear" w:color="auto" w:fill="auto"/>
          </w:tcPr>
          <w:p w:rsidR="00121B70" w:rsidRPr="003C4F2E" w:rsidRDefault="00121B70" w:rsidP="003C4F2E">
            <w:pPr>
              <w:spacing w:after="0" w:line="480" w:lineRule="auto"/>
              <w:rPr>
                <w:rFonts w:ascii="Times New Roman" w:hAnsi="Times New Roman" w:cs="Times New Roman"/>
                <w:b/>
                <w:sz w:val="24"/>
                <w:szCs w:val="24"/>
              </w:rPr>
            </w:pPr>
            <w:r w:rsidRPr="003C4F2E">
              <w:rPr>
                <w:rFonts w:ascii="Times New Roman" w:hAnsi="Times New Roman" w:cs="Times New Roman"/>
                <w:b/>
                <w:noProof/>
                <w:sz w:val="24"/>
                <w:szCs w:val="24"/>
              </w:rPr>
              <w:t>Amount</w:t>
            </w:r>
            <w:r w:rsidRPr="003C4F2E">
              <w:rPr>
                <w:rFonts w:ascii="Times New Roman" w:hAnsi="Times New Roman" w:cs="Times New Roman"/>
                <w:b/>
                <w:sz w:val="24"/>
                <w:szCs w:val="24"/>
              </w:rPr>
              <w:t xml:space="preserve"> in USD</w:t>
            </w:r>
          </w:p>
        </w:tc>
        <w:tc>
          <w:tcPr>
            <w:tcW w:w="714" w:type="pct"/>
            <w:shd w:val="clear" w:color="auto" w:fill="auto"/>
          </w:tcPr>
          <w:p w:rsidR="00121B70" w:rsidRPr="003C4F2E" w:rsidRDefault="00121B70" w:rsidP="003C4F2E">
            <w:pPr>
              <w:spacing w:after="0" w:line="480" w:lineRule="auto"/>
              <w:rPr>
                <w:rFonts w:ascii="Times New Roman" w:hAnsi="Times New Roman" w:cs="Times New Roman"/>
                <w:b/>
                <w:sz w:val="24"/>
                <w:szCs w:val="24"/>
              </w:rPr>
            </w:pPr>
            <w:r w:rsidRPr="003C4F2E">
              <w:rPr>
                <w:rFonts w:ascii="Times New Roman" w:hAnsi="Times New Roman" w:cs="Times New Roman"/>
                <w:b/>
                <w:sz w:val="24"/>
                <w:szCs w:val="24"/>
              </w:rPr>
              <w:t>Total</w:t>
            </w:r>
          </w:p>
        </w:tc>
      </w:tr>
      <w:tr w:rsidR="00121B70" w:rsidRPr="003C4F2E" w:rsidTr="002A5377">
        <w:tc>
          <w:tcPr>
            <w:tcW w:w="714"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Barclays PLC ADR</w:t>
            </w:r>
          </w:p>
        </w:tc>
        <w:tc>
          <w:tcPr>
            <w:tcW w:w="1238"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Issuance of Long term Debt</w:t>
            </w:r>
          </w:p>
        </w:tc>
        <w:tc>
          <w:tcPr>
            <w:tcW w:w="713"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5.26B</w:t>
            </w:r>
          </w:p>
        </w:tc>
        <w:tc>
          <w:tcPr>
            <w:tcW w:w="907"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 xml:space="preserve">Sale/Maturity of </w:t>
            </w:r>
            <w:r w:rsidRPr="003C4F2E">
              <w:rPr>
                <w:rFonts w:ascii="Times New Roman" w:hAnsi="Times New Roman" w:cs="Times New Roman"/>
                <w:noProof/>
                <w:sz w:val="24"/>
                <w:szCs w:val="24"/>
              </w:rPr>
              <w:t>Investments</w:t>
            </w:r>
          </w:p>
        </w:tc>
        <w:tc>
          <w:tcPr>
            <w:tcW w:w="714"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132.61B</w:t>
            </w:r>
          </w:p>
        </w:tc>
        <w:tc>
          <w:tcPr>
            <w:tcW w:w="714" w:type="pct"/>
            <w:shd w:val="clear" w:color="auto" w:fill="auto"/>
          </w:tcPr>
          <w:p w:rsidR="00121B70" w:rsidRPr="003C4F2E" w:rsidRDefault="00121B70" w:rsidP="003C4F2E">
            <w:pPr>
              <w:spacing w:after="0" w:line="480" w:lineRule="auto"/>
              <w:rPr>
                <w:rFonts w:ascii="Times New Roman" w:hAnsi="Times New Roman" w:cs="Times New Roman"/>
                <w:b/>
                <w:sz w:val="24"/>
                <w:szCs w:val="24"/>
              </w:rPr>
            </w:pPr>
            <w:r w:rsidRPr="003C4F2E">
              <w:rPr>
                <w:rFonts w:ascii="Times New Roman" w:hAnsi="Times New Roman" w:cs="Times New Roman"/>
                <w:sz w:val="24"/>
                <w:szCs w:val="24"/>
              </w:rPr>
              <w:t>137.87B</w:t>
            </w:r>
          </w:p>
        </w:tc>
      </w:tr>
      <w:tr w:rsidR="00121B70" w:rsidRPr="003C4F2E" w:rsidTr="002A5377">
        <w:tc>
          <w:tcPr>
            <w:tcW w:w="714"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Lloyds Banking Group PLC ADR</w:t>
            </w:r>
          </w:p>
        </w:tc>
        <w:tc>
          <w:tcPr>
            <w:tcW w:w="1238"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Issuance/Reduction of Debt, Net</w:t>
            </w:r>
          </w:p>
        </w:tc>
        <w:tc>
          <w:tcPr>
            <w:tcW w:w="713"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8.9B</w:t>
            </w:r>
          </w:p>
        </w:tc>
        <w:tc>
          <w:tcPr>
            <w:tcW w:w="907"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 xml:space="preserve">Sale/Maturity of </w:t>
            </w:r>
            <w:r w:rsidRPr="003C4F2E">
              <w:rPr>
                <w:rFonts w:ascii="Times New Roman" w:hAnsi="Times New Roman" w:cs="Times New Roman"/>
                <w:noProof/>
                <w:sz w:val="24"/>
                <w:szCs w:val="24"/>
              </w:rPr>
              <w:t>Investment</w:t>
            </w:r>
          </w:p>
        </w:tc>
        <w:tc>
          <w:tcPr>
            <w:tcW w:w="714"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25.77B</w:t>
            </w:r>
          </w:p>
        </w:tc>
        <w:tc>
          <w:tcPr>
            <w:tcW w:w="714" w:type="pct"/>
            <w:shd w:val="clear" w:color="auto" w:fill="auto"/>
          </w:tcPr>
          <w:p w:rsidR="00121B70" w:rsidRPr="003C4F2E" w:rsidRDefault="00121B70" w:rsidP="003C4F2E">
            <w:pPr>
              <w:spacing w:after="0" w:line="480" w:lineRule="auto"/>
              <w:rPr>
                <w:rFonts w:ascii="Times New Roman" w:hAnsi="Times New Roman" w:cs="Times New Roman"/>
                <w:sz w:val="24"/>
                <w:szCs w:val="24"/>
              </w:rPr>
            </w:pPr>
            <w:r w:rsidRPr="003C4F2E">
              <w:rPr>
                <w:rFonts w:ascii="Times New Roman" w:hAnsi="Times New Roman" w:cs="Times New Roman"/>
                <w:sz w:val="24"/>
                <w:szCs w:val="24"/>
              </w:rPr>
              <w:t>34.67B</w:t>
            </w:r>
          </w:p>
        </w:tc>
      </w:tr>
    </w:tbl>
    <w:p w:rsidR="00121B70" w:rsidRPr="003C4F2E" w:rsidRDefault="00121B70" w:rsidP="003C4F2E">
      <w:pPr>
        <w:spacing w:before="240" w:after="0" w:line="480" w:lineRule="auto"/>
        <w:ind w:firstLine="720"/>
        <w:rPr>
          <w:rFonts w:ascii="Times New Roman" w:hAnsi="Times New Roman" w:cs="Times New Roman"/>
          <w:sz w:val="24"/>
          <w:szCs w:val="24"/>
        </w:rPr>
      </w:pPr>
      <w:r w:rsidRPr="003C4F2E">
        <w:rPr>
          <w:rFonts w:ascii="Times New Roman" w:hAnsi="Times New Roman" w:cs="Times New Roman"/>
          <w:sz w:val="24"/>
          <w:szCs w:val="24"/>
        </w:rPr>
        <w:t xml:space="preserve">According to this table, the two banks have employed </w:t>
      </w:r>
      <w:r w:rsidRPr="003C4F2E">
        <w:rPr>
          <w:rFonts w:ascii="Times New Roman" w:hAnsi="Times New Roman" w:cs="Times New Roman"/>
          <w:noProof/>
          <w:sz w:val="24"/>
          <w:szCs w:val="24"/>
        </w:rPr>
        <w:t>different</w:t>
      </w:r>
      <w:r w:rsidRPr="003C4F2E">
        <w:rPr>
          <w:rFonts w:ascii="Times New Roman" w:hAnsi="Times New Roman" w:cs="Times New Roman"/>
          <w:sz w:val="24"/>
          <w:szCs w:val="24"/>
        </w:rPr>
        <w:t xml:space="preserve"> strategies </w:t>
      </w:r>
      <w:r w:rsidRPr="003C4F2E">
        <w:rPr>
          <w:rFonts w:ascii="Times New Roman" w:hAnsi="Times New Roman" w:cs="Times New Roman"/>
          <w:noProof/>
          <w:sz w:val="24"/>
          <w:szCs w:val="24"/>
        </w:rPr>
        <w:t>of</w:t>
      </w:r>
      <w:r w:rsidRPr="003C4F2E">
        <w:rPr>
          <w:rFonts w:ascii="Times New Roman" w:hAnsi="Times New Roman" w:cs="Times New Roman"/>
          <w:sz w:val="24"/>
          <w:szCs w:val="24"/>
        </w:rPr>
        <w:t xml:space="preserve"> financing themselves and also investing additional funds. For Barclays, the single most successful financing activity for them in the year 2015 was the </w:t>
      </w:r>
      <w:r w:rsidRPr="003C4F2E">
        <w:rPr>
          <w:rFonts w:ascii="Times New Roman" w:hAnsi="Times New Roman" w:cs="Times New Roman"/>
          <w:noProof/>
          <w:sz w:val="24"/>
          <w:szCs w:val="24"/>
        </w:rPr>
        <w:t>issuance</w:t>
      </w:r>
      <w:r w:rsidRPr="003C4F2E">
        <w:rPr>
          <w:rFonts w:ascii="Times New Roman" w:hAnsi="Times New Roman" w:cs="Times New Roman"/>
          <w:sz w:val="24"/>
          <w:szCs w:val="24"/>
        </w:rPr>
        <w:t xml:space="preserve"> of long term debt. For Lloyds, it was issuance and reduction </w:t>
      </w:r>
      <w:proofErr w:type="spellStart"/>
      <w:r w:rsidRPr="003C4F2E">
        <w:rPr>
          <w:rFonts w:ascii="Times New Roman" w:hAnsi="Times New Roman" w:cs="Times New Roman"/>
          <w:sz w:val="24"/>
          <w:szCs w:val="24"/>
        </w:rPr>
        <w:t>if</w:t>
      </w:r>
      <w:proofErr w:type="spellEnd"/>
      <w:r w:rsidRPr="003C4F2E">
        <w:rPr>
          <w:rFonts w:ascii="Times New Roman" w:hAnsi="Times New Roman" w:cs="Times New Roman"/>
          <w:sz w:val="24"/>
          <w:szCs w:val="24"/>
        </w:rPr>
        <w:t xml:space="preserve"> debt at 8.9B (Lloyds Banking Group, 2016). In this regard, Lloyd did better than Barclays in getting more from its financing activities as concerns issuance/reduction </w:t>
      </w:r>
      <w:r w:rsidR="003C4F2E" w:rsidRPr="003C4F2E">
        <w:rPr>
          <w:rFonts w:ascii="Times New Roman" w:hAnsi="Times New Roman" w:cs="Times New Roman"/>
          <w:sz w:val="24"/>
          <w:szCs w:val="24"/>
        </w:rPr>
        <w:t>in</w:t>
      </w:r>
      <w:r w:rsidRPr="003C4F2E">
        <w:rPr>
          <w:rFonts w:ascii="Times New Roman" w:hAnsi="Times New Roman" w:cs="Times New Roman"/>
          <w:sz w:val="24"/>
          <w:szCs w:val="24"/>
        </w:rPr>
        <w:t xml:space="preserve"> debt. The company decided to pull its resources in this sector to ensure that the debts, as financing activities, accrued the maximum possible amount. Barclays’ strategy favored its long term </w:t>
      </w:r>
      <w:r w:rsidRPr="003C4F2E">
        <w:rPr>
          <w:rFonts w:ascii="Times New Roman" w:hAnsi="Times New Roman" w:cs="Times New Roman"/>
          <w:noProof/>
          <w:sz w:val="24"/>
          <w:szCs w:val="24"/>
        </w:rPr>
        <w:t>debts</w:t>
      </w:r>
      <w:r w:rsidRPr="003C4F2E">
        <w:rPr>
          <w:rFonts w:ascii="Times New Roman" w:hAnsi="Times New Roman" w:cs="Times New Roman"/>
          <w:sz w:val="24"/>
          <w:szCs w:val="24"/>
        </w:rPr>
        <w:t xml:space="preserve"> more than any other debt. Due to this, the bank’s long term </w:t>
      </w:r>
      <w:r w:rsidRPr="003C4F2E">
        <w:rPr>
          <w:rFonts w:ascii="Times New Roman" w:hAnsi="Times New Roman" w:cs="Times New Roman"/>
          <w:noProof/>
          <w:sz w:val="24"/>
          <w:szCs w:val="24"/>
        </w:rPr>
        <w:t>debts</w:t>
      </w:r>
      <w:r w:rsidRPr="003C4F2E">
        <w:rPr>
          <w:rFonts w:ascii="Times New Roman" w:hAnsi="Times New Roman" w:cs="Times New Roman"/>
          <w:sz w:val="24"/>
          <w:szCs w:val="24"/>
        </w:rPr>
        <w:t xml:space="preserve"> brought in the most financially with 5.26B (Barclays, 2016). The focus for each firm </w:t>
      </w:r>
      <w:r w:rsidRPr="003C4F2E">
        <w:rPr>
          <w:rFonts w:ascii="Times New Roman" w:hAnsi="Times New Roman" w:cs="Times New Roman"/>
          <w:noProof/>
          <w:sz w:val="24"/>
          <w:szCs w:val="24"/>
        </w:rPr>
        <w:t>regarding</w:t>
      </w:r>
      <w:r w:rsidRPr="003C4F2E">
        <w:rPr>
          <w:rFonts w:ascii="Times New Roman" w:hAnsi="Times New Roman" w:cs="Times New Roman"/>
          <w:sz w:val="24"/>
          <w:szCs w:val="24"/>
        </w:rPr>
        <w:t xml:space="preserve"> financing activity was different owing to the strategies they applied during the year 2015. The </w:t>
      </w:r>
      <w:r w:rsidRPr="003C4F2E">
        <w:rPr>
          <w:rFonts w:ascii="Times New Roman" w:hAnsi="Times New Roman" w:cs="Times New Roman"/>
          <w:noProof/>
          <w:sz w:val="24"/>
          <w:szCs w:val="24"/>
        </w:rPr>
        <w:lastRenderedPageBreak/>
        <w:t>approach</w:t>
      </w:r>
      <w:r w:rsidRPr="003C4F2E">
        <w:rPr>
          <w:rFonts w:ascii="Times New Roman" w:hAnsi="Times New Roman" w:cs="Times New Roman"/>
          <w:sz w:val="24"/>
          <w:szCs w:val="24"/>
        </w:rPr>
        <w:t xml:space="preserve">, often a combination of marketing and product development </w:t>
      </w:r>
      <w:r w:rsidRPr="003C4F2E">
        <w:rPr>
          <w:rFonts w:ascii="Times New Roman" w:hAnsi="Times New Roman" w:cs="Times New Roman"/>
          <w:noProof/>
          <w:sz w:val="24"/>
          <w:szCs w:val="24"/>
        </w:rPr>
        <w:t>strategy</w:t>
      </w:r>
      <w:r w:rsidRPr="003C4F2E">
        <w:rPr>
          <w:rFonts w:ascii="Times New Roman" w:hAnsi="Times New Roman" w:cs="Times New Roman"/>
          <w:sz w:val="24"/>
          <w:szCs w:val="24"/>
        </w:rPr>
        <w:t>, helped each company achieve its objectives different form the other (</w:t>
      </w:r>
      <w:proofErr w:type="spellStart"/>
      <w:r w:rsidRPr="003C4F2E">
        <w:rPr>
          <w:rFonts w:ascii="Times New Roman" w:hAnsi="Times New Roman" w:cs="Times New Roman"/>
          <w:sz w:val="24"/>
          <w:szCs w:val="24"/>
        </w:rPr>
        <w:t>Parrino</w:t>
      </w:r>
      <w:proofErr w:type="spellEnd"/>
      <w:r w:rsidRPr="003C4F2E">
        <w:rPr>
          <w:rFonts w:ascii="Times New Roman" w:hAnsi="Times New Roman" w:cs="Times New Roman"/>
          <w:sz w:val="24"/>
          <w:szCs w:val="24"/>
        </w:rPr>
        <w:t xml:space="preserve">, 2011). Though they both got the maximum amount of from financing activities in the issuance and reduction area, it the differences in the strategies are demonstrated by the different largest financing activities tabled above. </w:t>
      </w:r>
    </w:p>
    <w:p w:rsidR="00121B70" w:rsidRPr="003C4F2E" w:rsidRDefault="00121B70" w:rsidP="003C4F2E">
      <w:pPr>
        <w:spacing w:after="0" w:line="480" w:lineRule="auto"/>
        <w:ind w:firstLine="720"/>
        <w:rPr>
          <w:rFonts w:ascii="Times New Roman" w:hAnsi="Times New Roman" w:cs="Times New Roman"/>
          <w:sz w:val="24"/>
          <w:szCs w:val="24"/>
        </w:rPr>
      </w:pPr>
      <w:r w:rsidRPr="003C4F2E">
        <w:rPr>
          <w:rFonts w:ascii="Times New Roman" w:hAnsi="Times New Roman" w:cs="Times New Roman"/>
          <w:sz w:val="24"/>
          <w:szCs w:val="24"/>
        </w:rPr>
        <w:t xml:space="preserve">Concerning investing activities, Barclays did better than Lloyd. The latter collected 25.77B compared to Barclays’ whooping 132.61B in the year 2015. Here the strategies employed by each firm were quite different owing to the difference in cash flow. Both of them got the maximum amount of investing cash flow from the same area; </w:t>
      </w:r>
      <w:r w:rsidRPr="003C4F2E">
        <w:rPr>
          <w:rFonts w:ascii="Times New Roman" w:hAnsi="Times New Roman" w:cs="Times New Roman"/>
          <w:noProof/>
          <w:sz w:val="24"/>
          <w:szCs w:val="24"/>
        </w:rPr>
        <w:t>sale and maturity of investment</w:t>
      </w:r>
      <w:r w:rsidRPr="003C4F2E">
        <w:rPr>
          <w:rFonts w:ascii="Times New Roman" w:hAnsi="Times New Roman" w:cs="Times New Roman"/>
          <w:sz w:val="24"/>
          <w:szCs w:val="24"/>
        </w:rPr>
        <w:t xml:space="preserve">. The only explanation for the discrepancy in cash flow is the strategies used. Barclays’ had used strategies that sought to favor the uptake of its products. </w:t>
      </w:r>
      <w:r w:rsidRPr="003C4F2E">
        <w:rPr>
          <w:rFonts w:ascii="Times New Roman" w:hAnsi="Times New Roman" w:cs="Times New Roman"/>
          <w:noProof/>
          <w:sz w:val="24"/>
          <w:szCs w:val="24"/>
        </w:rPr>
        <w:t>This is</w:t>
      </w:r>
      <w:r w:rsidRPr="003C4F2E">
        <w:rPr>
          <w:rFonts w:ascii="Times New Roman" w:hAnsi="Times New Roman" w:cs="Times New Roman"/>
          <w:sz w:val="24"/>
          <w:szCs w:val="24"/>
        </w:rPr>
        <w:t xml:space="preserve"> achievable through the use of </w:t>
      </w:r>
      <w:r w:rsidRPr="003C4F2E">
        <w:rPr>
          <w:rFonts w:ascii="Times New Roman" w:hAnsi="Times New Roman" w:cs="Times New Roman"/>
          <w:noProof/>
          <w:sz w:val="24"/>
          <w:szCs w:val="24"/>
        </w:rPr>
        <w:t>diverse</w:t>
      </w:r>
      <w:r w:rsidRPr="003C4F2E">
        <w:rPr>
          <w:rFonts w:ascii="Times New Roman" w:hAnsi="Times New Roman" w:cs="Times New Roman"/>
          <w:sz w:val="24"/>
          <w:szCs w:val="24"/>
        </w:rPr>
        <w:t xml:space="preserve"> and numerous investment plans. </w:t>
      </w:r>
      <w:r w:rsidRPr="003C4F2E">
        <w:rPr>
          <w:rFonts w:ascii="Times New Roman" w:hAnsi="Times New Roman" w:cs="Times New Roman"/>
          <w:noProof/>
          <w:sz w:val="24"/>
          <w:szCs w:val="24"/>
        </w:rPr>
        <w:t>This helps</w:t>
      </w:r>
      <w:r w:rsidRPr="003C4F2E">
        <w:rPr>
          <w:rFonts w:ascii="Times New Roman" w:hAnsi="Times New Roman" w:cs="Times New Roman"/>
          <w:sz w:val="24"/>
          <w:szCs w:val="24"/>
        </w:rPr>
        <w:t xml:space="preserve"> the bank to secure a sizeable investment when the plans mature. The diversification is </w:t>
      </w:r>
      <w:r w:rsidRPr="003C4F2E">
        <w:rPr>
          <w:rFonts w:ascii="Times New Roman" w:hAnsi="Times New Roman" w:cs="Times New Roman"/>
          <w:noProof/>
          <w:sz w:val="24"/>
          <w:szCs w:val="24"/>
        </w:rPr>
        <w:t>critical</w:t>
      </w:r>
      <w:r w:rsidRPr="003C4F2E">
        <w:rPr>
          <w:rFonts w:ascii="Times New Roman" w:hAnsi="Times New Roman" w:cs="Times New Roman"/>
          <w:sz w:val="24"/>
          <w:szCs w:val="24"/>
        </w:rPr>
        <w:t xml:space="preserve"> ensuring that if one investment fails the others can cover for it and reduce its impact financially. Barclays is a bank that takes large risks </w:t>
      </w:r>
      <w:r w:rsidRPr="003C4F2E">
        <w:rPr>
          <w:rFonts w:ascii="Times New Roman" w:hAnsi="Times New Roman" w:cs="Times New Roman"/>
          <w:noProof/>
          <w:sz w:val="24"/>
          <w:szCs w:val="24"/>
        </w:rPr>
        <w:t>in terms of</w:t>
      </w:r>
      <w:r w:rsidRPr="003C4F2E">
        <w:rPr>
          <w:rFonts w:ascii="Times New Roman" w:hAnsi="Times New Roman" w:cs="Times New Roman"/>
          <w:sz w:val="24"/>
          <w:szCs w:val="24"/>
        </w:rPr>
        <w:t xml:space="preserve"> investments (Barclays, 2016). Sometimes, the risks pay off huge some other times they do not. For instance, in the year 2013, the sale and maturity of investment for the bank was 69.47B only. Therefore, the company can be said to have maintained consistent strategies a far as investment sale and maturity is concerned. In the year 2015, the company managed the best return from the risk the company it had taken. Lloyd Bank does not make such risks. From the year </w:t>
      </w:r>
      <w:r w:rsidRPr="003C4F2E">
        <w:rPr>
          <w:rFonts w:ascii="Times New Roman" w:hAnsi="Times New Roman" w:cs="Times New Roman"/>
          <w:noProof/>
          <w:sz w:val="24"/>
          <w:szCs w:val="24"/>
        </w:rPr>
        <w:t>2011,</w:t>
      </w:r>
      <w:r w:rsidRPr="003C4F2E">
        <w:rPr>
          <w:rFonts w:ascii="Times New Roman" w:hAnsi="Times New Roman" w:cs="Times New Roman"/>
          <w:sz w:val="24"/>
          <w:szCs w:val="24"/>
        </w:rPr>
        <w:t xml:space="preserve"> the company has averaged between 50B and 15B in sales and maturity investments annually. </w:t>
      </w:r>
      <w:r w:rsidRPr="003C4F2E">
        <w:rPr>
          <w:rFonts w:ascii="Times New Roman" w:hAnsi="Times New Roman" w:cs="Times New Roman"/>
          <w:noProof/>
          <w:sz w:val="24"/>
          <w:szCs w:val="24"/>
        </w:rPr>
        <w:t>This goes</w:t>
      </w:r>
      <w:r w:rsidRPr="003C4F2E">
        <w:rPr>
          <w:rFonts w:ascii="Times New Roman" w:hAnsi="Times New Roman" w:cs="Times New Roman"/>
          <w:sz w:val="24"/>
          <w:szCs w:val="24"/>
        </w:rPr>
        <w:t xml:space="preserve"> to show that the company has not a high limit on risk investment in this particular area. </w:t>
      </w:r>
    </w:p>
    <w:p w:rsidR="00121B70" w:rsidRPr="003C4F2E" w:rsidRDefault="00121B70" w:rsidP="003C4F2E">
      <w:pPr>
        <w:spacing w:line="480" w:lineRule="auto"/>
        <w:rPr>
          <w:rFonts w:ascii="Times New Roman" w:hAnsi="Times New Roman" w:cs="Times New Roman"/>
          <w:b/>
          <w:sz w:val="24"/>
          <w:szCs w:val="24"/>
        </w:rPr>
      </w:pPr>
    </w:p>
    <w:p w:rsidR="00121B70" w:rsidRPr="003C4F2E" w:rsidRDefault="00121B70" w:rsidP="003C4F2E">
      <w:pPr>
        <w:spacing w:line="480" w:lineRule="auto"/>
        <w:jc w:val="center"/>
        <w:rPr>
          <w:rFonts w:ascii="Times New Roman" w:hAnsi="Times New Roman" w:cs="Times New Roman"/>
          <w:b/>
          <w:sz w:val="24"/>
          <w:szCs w:val="24"/>
        </w:rPr>
      </w:pPr>
      <w:r w:rsidRPr="003C4F2E">
        <w:rPr>
          <w:rFonts w:ascii="Times New Roman" w:hAnsi="Times New Roman" w:cs="Times New Roman"/>
          <w:b/>
          <w:sz w:val="24"/>
          <w:szCs w:val="24"/>
        </w:rPr>
        <w:lastRenderedPageBreak/>
        <w:t>Compare and Contrast of the Investing and Financing Activities</w:t>
      </w:r>
    </w:p>
    <w:p w:rsidR="003C4F2E" w:rsidRPr="003C4F2E" w:rsidRDefault="003C4F2E" w:rsidP="003C4F2E">
      <w:pPr>
        <w:spacing w:after="0" w:line="480" w:lineRule="auto"/>
        <w:ind w:firstLine="720"/>
        <w:rPr>
          <w:rFonts w:ascii="Times New Roman" w:hAnsi="Times New Roman" w:cs="Times New Roman"/>
          <w:sz w:val="24"/>
          <w:szCs w:val="24"/>
        </w:rPr>
      </w:pPr>
      <w:r w:rsidRPr="003C4F2E">
        <w:rPr>
          <w:rFonts w:ascii="Times New Roman" w:hAnsi="Times New Roman" w:cs="Times New Roman"/>
          <w:sz w:val="24"/>
          <w:szCs w:val="24"/>
        </w:rPr>
        <w:t xml:space="preserve">As demonstrated by the data above, Lloyd is a </w:t>
      </w:r>
      <w:r w:rsidRPr="003C4F2E">
        <w:rPr>
          <w:rFonts w:ascii="Times New Roman" w:hAnsi="Times New Roman" w:cs="Times New Roman"/>
          <w:noProof/>
          <w:sz w:val="24"/>
          <w:szCs w:val="24"/>
        </w:rPr>
        <w:t>bank</w:t>
      </w:r>
      <w:r w:rsidRPr="003C4F2E">
        <w:rPr>
          <w:rFonts w:ascii="Times New Roman" w:hAnsi="Times New Roman" w:cs="Times New Roman"/>
          <w:sz w:val="24"/>
          <w:szCs w:val="24"/>
        </w:rPr>
        <w:t xml:space="preserve"> with </w:t>
      </w:r>
      <w:r w:rsidRPr="003C4F2E">
        <w:rPr>
          <w:rFonts w:ascii="Times New Roman" w:hAnsi="Times New Roman" w:cs="Times New Roman"/>
          <w:noProof/>
          <w:sz w:val="24"/>
          <w:szCs w:val="24"/>
        </w:rPr>
        <w:t>a low</w:t>
      </w:r>
      <w:r w:rsidRPr="003C4F2E">
        <w:rPr>
          <w:rFonts w:ascii="Times New Roman" w:hAnsi="Times New Roman" w:cs="Times New Roman"/>
          <w:sz w:val="24"/>
          <w:szCs w:val="24"/>
        </w:rPr>
        <w:t xml:space="preserve"> risk ceiling for its investment plans. For this reason, the company has been getting fairly average and low returns compared to Barclays when it comes to investing activities. In fact, the highest amount the company got was in the year 56.64B back in the year 2011. For Barclays, the smallest amount the company got from its investing activities was in the year 2013, 69.47B. Clearly, the strategies employed by Barclays are more efficient than those of Lloyd when it comes to investing. When it comes to financing activities, Barclays has been outdone by Lloyd. The two banks have a slight difference when compared to the difference in investing activities. However, Lloyd has maximized its financing activities in net issuance/reduction of debt more than Barclays. These results explain why Barclays got a lot </w:t>
      </w:r>
      <w:r w:rsidRPr="003C4F2E">
        <w:rPr>
          <w:rFonts w:ascii="Times New Roman" w:hAnsi="Times New Roman" w:cs="Times New Roman"/>
          <w:noProof/>
          <w:sz w:val="24"/>
          <w:szCs w:val="24"/>
        </w:rPr>
        <w:t>of investment</w:t>
      </w:r>
      <w:r w:rsidRPr="003C4F2E">
        <w:rPr>
          <w:rFonts w:ascii="Times New Roman" w:hAnsi="Times New Roman" w:cs="Times New Roman"/>
          <w:sz w:val="24"/>
          <w:szCs w:val="24"/>
        </w:rPr>
        <w:t xml:space="preserve"> returns from sale/maturity of investment (Long, 2017). The central strategy in the bank was to focus on long term future of the company. Through such an approach the bank would pay more attention to long term debts and would also invest in long term investments whose maturity was in the year 2015 and thus the 137.78B investment return. For Lloyd, the management was cautious about its investments and avoided an </w:t>
      </w:r>
      <w:r w:rsidRPr="003C4F2E">
        <w:rPr>
          <w:rFonts w:ascii="Times New Roman" w:hAnsi="Times New Roman" w:cs="Times New Roman"/>
          <w:noProof/>
          <w:sz w:val="24"/>
          <w:szCs w:val="24"/>
        </w:rPr>
        <w:t>investment</w:t>
      </w:r>
      <w:r w:rsidRPr="003C4F2E">
        <w:rPr>
          <w:rFonts w:ascii="Times New Roman" w:hAnsi="Times New Roman" w:cs="Times New Roman"/>
          <w:sz w:val="24"/>
          <w:szCs w:val="24"/>
        </w:rPr>
        <w:t xml:space="preserve"> that held a high rate of risk (Lloyds Banking Group, 2016). This stability and avoidance of unnecessary risk managed to keep the cash flow of the bank </w:t>
      </w:r>
      <w:r w:rsidRPr="003C4F2E">
        <w:rPr>
          <w:rFonts w:ascii="Times New Roman" w:hAnsi="Times New Roman" w:cs="Times New Roman"/>
          <w:noProof/>
          <w:sz w:val="24"/>
          <w:szCs w:val="24"/>
        </w:rPr>
        <w:t>relatively</w:t>
      </w:r>
      <w:r w:rsidRPr="003C4F2E">
        <w:rPr>
          <w:rFonts w:ascii="Times New Roman" w:hAnsi="Times New Roman" w:cs="Times New Roman"/>
          <w:sz w:val="24"/>
          <w:szCs w:val="24"/>
        </w:rPr>
        <w:t xml:space="preserve"> stable for the last five years. As a result, the bank did well </w:t>
      </w:r>
      <w:r w:rsidRPr="003C4F2E">
        <w:rPr>
          <w:rFonts w:ascii="Times New Roman" w:hAnsi="Times New Roman" w:cs="Times New Roman"/>
          <w:noProof/>
          <w:sz w:val="24"/>
          <w:szCs w:val="24"/>
        </w:rPr>
        <w:t>with regard to</w:t>
      </w:r>
      <w:r w:rsidRPr="003C4F2E">
        <w:rPr>
          <w:rFonts w:ascii="Times New Roman" w:hAnsi="Times New Roman" w:cs="Times New Roman"/>
          <w:sz w:val="24"/>
          <w:szCs w:val="24"/>
        </w:rPr>
        <w:t xml:space="preserve"> issuance and reduction of debt because it </w:t>
      </w:r>
      <w:r w:rsidRPr="003C4F2E">
        <w:rPr>
          <w:rFonts w:ascii="Times New Roman" w:hAnsi="Times New Roman" w:cs="Times New Roman"/>
          <w:noProof/>
          <w:sz w:val="24"/>
          <w:szCs w:val="24"/>
        </w:rPr>
        <w:t>was backed</w:t>
      </w:r>
      <w:r w:rsidRPr="003C4F2E">
        <w:rPr>
          <w:rFonts w:ascii="Times New Roman" w:hAnsi="Times New Roman" w:cs="Times New Roman"/>
          <w:sz w:val="24"/>
          <w:szCs w:val="24"/>
        </w:rPr>
        <w:t xml:space="preserve"> by a </w:t>
      </w:r>
      <w:r w:rsidRPr="003C4F2E">
        <w:rPr>
          <w:rFonts w:ascii="Times New Roman" w:hAnsi="Times New Roman" w:cs="Times New Roman"/>
          <w:noProof/>
          <w:sz w:val="24"/>
          <w:szCs w:val="24"/>
        </w:rPr>
        <w:t>fairly</w:t>
      </w:r>
      <w:r w:rsidRPr="003C4F2E">
        <w:rPr>
          <w:rFonts w:ascii="Times New Roman" w:hAnsi="Times New Roman" w:cs="Times New Roman"/>
          <w:sz w:val="24"/>
          <w:szCs w:val="24"/>
        </w:rPr>
        <w:t xml:space="preserve"> stable financial cash flow system. With the </w:t>
      </w:r>
      <w:r w:rsidRPr="003C4F2E">
        <w:rPr>
          <w:rFonts w:ascii="Times New Roman" w:hAnsi="Times New Roman" w:cs="Times New Roman"/>
          <w:noProof/>
          <w:sz w:val="24"/>
          <w:szCs w:val="24"/>
        </w:rPr>
        <w:t>steady</w:t>
      </w:r>
      <w:r w:rsidRPr="003C4F2E">
        <w:rPr>
          <w:rFonts w:ascii="Times New Roman" w:hAnsi="Times New Roman" w:cs="Times New Roman"/>
          <w:sz w:val="24"/>
          <w:szCs w:val="24"/>
        </w:rPr>
        <w:t xml:space="preserve"> </w:t>
      </w:r>
      <w:r w:rsidRPr="003C4F2E">
        <w:rPr>
          <w:rFonts w:ascii="Times New Roman" w:hAnsi="Times New Roman" w:cs="Times New Roman"/>
          <w:noProof/>
          <w:sz w:val="24"/>
          <w:szCs w:val="24"/>
        </w:rPr>
        <w:t>cashflow,</w:t>
      </w:r>
      <w:r w:rsidRPr="003C4F2E">
        <w:rPr>
          <w:rFonts w:ascii="Times New Roman" w:hAnsi="Times New Roman" w:cs="Times New Roman"/>
          <w:sz w:val="24"/>
          <w:szCs w:val="24"/>
        </w:rPr>
        <w:t xml:space="preserve"> it is easier to issue many </w:t>
      </w:r>
      <w:r w:rsidRPr="003C4F2E">
        <w:rPr>
          <w:rFonts w:ascii="Times New Roman" w:hAnsi="Times New Roman" w:cs="Times New Roman"/>
          <w:noProof/>
          <w:sz w:val="24"/>
          <w:szCs w:val="24"/>
        </w:rPr>
        <w:t>debts</w:t>
      </w:r>
      <w:r w:rsidRPr="003C4F2E">
        <w:rPr>
          <w:rFonts w:ascii="Times New Roman" w:hAnsi="Times New Roman" w:cs="Times New Roman"/>
          <w:sz w:val="24"/>
          <w:szCs w:val="24"/>
        </w:rPr>
        <w:t xml:space="preserve"> at once because the firm has access to most of its funds. </w:t>
      </w:r>
      <w:r w:rsidRPr="003C4F2E">
        <w:rPr>
          <w:rFonts w:ascii="Times New Roman" w:hAnsi="Times New Roman" w:cs="Times New Roman"/>
          <w:noProof/>
          <w:sz w:val="24"/>
          <w:szCs w:val="24"/>
        </w:rPr>
        <w:t>This is</w:t>
      </w:r>
      <w:r w:rsidRPr="003C4F2E">
        <w:rPr>
          <w:rFonts w:ascii="Times New Roman" w:hAnsi="Times New Roman" w:cs="Times New Roman"/>
          <w:sz w:val="24"/>
          <w:szCs w:val="24"/>
        </w:rPr>
        <w:t xml:space="preserve"> the difference in strategies that led to the differences seen in financing activities and investing activities between Barclays and Lloyd Banks (</w:t>
      </w:r>
      <w:proofErr w:type="spellStart"/>
      <w:r w:rsidRPr="003C4F2E">
        <w:rPr>
          <w:rFonts w:ascii="Times New Roman" w:hAnsi="Times New Roman" w:cs="Times New Roman"/>
          <w:sz w:val="24"/>
          <w:szCs w:val="24"/>
        </w:rPr>
        <w:t>Parrino</w:t>
      </w:r>
      <w:proofErr w:type="spellEnd"/>
      <w:r w:rsidRPr="003C4F2E">
        <w:rPr>
          <w:rFonts w:ascii="Times New Roman" w:hAnsi="Times New Roman" w:cs="Times New Roman"/>
          <w:sz w:val="24"/>
          <w:szCs w:val="24"/>
        </w:rPr>
        <w:t>, 2011).</w:t>
      </w:r>
    </w:p>
    <w:p w:rsidR="003C4F2E" w:rsidRDefault="003C4F2E" w:rsidP="003C4F2E">
      <w:pPr>
        <w:spacing w:line="480" w:lineRule="auto"/>
        <w:rPr>
          <w:rFonts w:ascii="Times New Roman" w:hAnsi="Times New Roman" w:cs="Times New Roman"/>
          <w:b/>
          <w:sz w:val="24"/>
          <w:szCs w:val="24"/>
        </w:rPr>
      </w:pPr>
    </w:p>
    <w:p w:rsidR="00121B70" w:rsidRPr="003C4F2E" w:rsidRDefault="003C4F2E" w:rsidP="003C4F2E">
      <w:pPr>
        <w:spacing w:line="480" w:lineRule="auto"/>
        <w:jc w:val="center"/>
        <w:rPr>
          <w:rFonts w:ascii="Times New Roman" w:hAnsi="Times New Roman" w:cs="Times New Roman"/>
          <w:b/>
          <w:sz w:val="24"/>
          <w:szCs w:val="24"/>
        </w:rPr>
      </w:pPr>
      <w:r w:rsidRPr="003C4F2E">
        <w:rPr>
          <w:rFonts w:ascii="Times New Roman" w:hAnsi="Times New Roman" w:cs="Times New Roman"/>
          <w:b/>
          <w:sz w:val="24"/>
          <w:szCs w:val="24"/>
        </w:rPr>
        <w:lastRenderedPageBreak/>
        <w:t>Evaluation and Effectiveness of the Investing and Financing Strategies</w:t>
      </w:r>
    </w:p>
    <w:p w:rsidR="003C4F2E" w:rsidRPr="003C4F2E" w:rsidRDefault="003C4F2E" w:rsidP="003C4F2E">
      <w:pPr>
        <w:spacing w:after="0" w:line="480" w:lineRule="auto"/>
        <w:ind w:firstLine="720"/>
        <w:rPr>
          <w:rFonts w:ascii="Times New Roman" w:hAnsi="Times New Roman" w:cs="Times New Roman"/>
          <w:sz w:val="24"/>
          <w:szCs w:val="24"/>
        </w:rPr>
      </w:pPr>
      <w:r w:rsidRPr="003C4F2E">
        <w:rPr>
          <w:rFonts w:ascii="Times New Roman" w:hAnsi="Times New Roman" w:cs="Times New Roman"/>
          <w:sz w:val="24"/>
          <w:szCs w:val="24"/>
        </w:rPr>
        <w:t xml:space="preserve">It has </w:t>
      </w:r>
      <w:r w:rsidRPr="003C4F2E">
        <w:rPr>
          <w:rFonts w:ascii="Times New Roman" w:hAnsi="Times New Roman" w:cs="Times New Roman"/>
          <w:noProof/>
          <w:sz w:val="24"/>
          <w:szCs w:val="24"/>
        </w:rPr>
        <w:t>been demonstrated</w:t>
      </w:r>
      <w:r w:rsidRPr="003C4F2E">
        <w:rPr>
          <w:rFonts w:ascii="Times New Roman" w:hAnsi="Times New Roman" w:cs="Times New Roman"/>
          <w:sz w:val="24"/>
          <w:szCs w:val="24"/>
        </w:rPr>
        <w:t xml:space="preserve"> that Lloyd Bank opted for less risky strategies in the year 2015 as opposed to Barclays’ risky </w:t>
      </w:r>
      <w:r w:rsidRPr="003C4F2E">
        <w:rPr>
          <w:rFonts w:ascii="Times New Roman" w:hAnsi="Times New Roman" w:cs="Times New Roman"/>
          <w:noProof/>
          <w:sz w:val="24"/>
          <w:szCs w:val="24"/>
        </w:rPr>
        <w:t>strategies</w:t>
      </w:r>
      <w:r w:rsidRPr="003C4F2E">
        <w:rPr>
          <w:rFonts w:ascii="Times New Roman" w:hAnsi="Times New Roman" w:cs="Times New Roman"/>
          <w:sz w:val="24"/>
          <w:szCs w:val="24"/>
        </w:rPr>
        <w:t xml:space="preserve">. The difference between these two approaches </w:t>
      </w:r>
      <w:r w:rsidRPr="003C4F2E">
        <w:rPr>
          <w:rFonts w:ascii="Times New Roman" w:hAnsi="Times New Roman" w:cs="Times New Roman"/>
          <w:noProof/>
          <w:sz w:val="24"/>
          <w:szCs w:val="24"/>
        </w:rPr>
        <w:t>is seen</w:t>
      </w:r>
      <w:r w:rsidRPr="003C4F2E">
        <w:rPr>
          <w:rFonts w:ascii="Times New Roman" w:hAnsi="Times New Roman" w:cs="Times New Roman"/>
          <w:sz w:val="24"/>
          <w:szCs w:val="24"/>
        </w:rPr>
        <w:t xml:space="preserve"> in the totals of the largest financial and investment activities cash flows. For Barclays the amount was 137.87B, </w:t>
      </w:r>
      <w:r w:rsidRPr="003C4F2E">
        <w:rPr>
          <w:rFonts w:ascii="Times New Roman" w:hAnsi="Times New Roman" w:cs="Times New Roman"/>
          <w:noProof/>
          <w:sz w:val="24"/>
          <w:szCs w:val="24"/>
        </w:rPr>
        <w:t>and</w:t>
      </w:r>
      <w:r w:rsidRPr="003C4F2E">
        <w:rPr>
          <w:rFonts w:ascii="Times New Roman" w:hAnsi="Times New Roman" w:cs="Times New Roman"/>
          <w:sz w:val="24"/>
          <w:szCs w:val="24"/>
        </w:rPr>
        <w:t xml:space="preserve"> Lloyd’s was 34.67B. </w:t>
      </w:r>
      <w:r w:rsidRPr="003C4F2E">
        <w:rPr>
          <w:rFonts w:ascii="Times New Roman" w:hAnsi="Times New Roman" w:cs="Times New Roman"/>
          <w:noProof/>
          <w:sz w:val="24"/>
          <w:szCs w:val="24"/>
        </w:rPr>
        <w:t>This shows</w:t>
      </w:r>
      <w:r w:rsidRPr="003C4F2E">
        <w:rPr>
          <w:rFonts w:ascii="Times New Roman" w:hAnsi="Times New Roman" w:cs="Times New Roman"/>
          <w:sz w:val="24"/>
          <w:szCs w:val="24"/>
        </w:rPr>
        <w:t xml:space="preserve"> that Barclays’ strategies brought more returns than Lloyds in the year 2015. Financially, Barclays was in a better position as far as cash flow statements are concerned. Therefore, it can </w:t>
      </w:r>
      <w:r w:rsidRPr="003C4F2E">
        <w:rPr>
          <w:rFonts w:ascii="Times New Roman" w:hAnsi="Times New Roman" w:cs="Times New Roman"/>
          <w:noProof/>
          <w:sz w:val="24"/>
          <w:szCs w:val="24"/>
        </w:rPr>
        <w:t>be inferred</w:t>
      </w:r>
      <w:r w:rsidRPr="003C4F2E">
        <w:rPr>
          <w:rFonts w:ascii="Times New Roman" w:hAnsi="Times New Roman" w:cs="Times New Roman"/>
          <w:sz w:val="24"/>
          <w:szCs w:val="24"/>
        </w:rPr>
        <w:t xml:space="preserve"> that Barclays applied a more risky approach as it done consistently over the last few years and most of its investments matured as expected in the year 2015. For Lloyd bank, the approach was to void risks and maintain stable cash flow for the year (</w:t>
      </w:r>
      <w:proofErr w:type="spellStart"/>
      <w:r w:rsidRPr="003C4F2E">
        <w:rPr>
          <w:rFonts w:ascii="Times New Roman" w:hAnsi="Times New Roman" w:cs="Times New Roman"/>
          <w:sz w:val="24"/>
          <w:szCs w:val="24"/>
        </w:rPr>
        <w:t>Parrino</w:t>
      </w:r>
      <w:proofErr w:type="spellEnd"/>
      <w:r w:rsidRPr="003C4F2E">
        <w:rPr>
          <w:rFonts w:ascii="Times New Roman" w:hAnsi="Times New Roman" w:cs="Times New Roman"/>
          <w:sz w:val="24"/>
          <w:szCs w:val="24"/>
        </w:rPr>
        <w:t xml:space="preserve">, 2011). </w:t>
      </w:r>
    </w:p>
    <w:p w:rsidR="003C4F2E" w:rsidRPr="003C4F2E" w:rsidRDefault="003C4F2E" w:rsidP="003C4F2E">
      <w:pPr>
        <w:spacing w:after="0" w:line="480" w:lineRule="auto"/>
        <w:ind w:firstLine="720"/>
        <w:rPr>
          <w:rFonts w:ascii="Times New Roman" w:hAnsi="Times New Roman" w:cs="Times New Roman"/>
          <w:sz w:val="24"/>
          <w:szCs w:val="24"/>
        </w:rPr>
      </w:pPr>
      <w:r w:rsidRPr="003C4F2E">
        <w:rPr>
          <w:rFonts w:ascii="Times New Roman" w:hAnsi="Times New Roman" w:cs="Times New Roman"/>
          <w:sz w:val="24"/>
          <w:szCs w:val="24"/>
        </w:rPr>
        <w:t xml:space="preserve">The rational for each bank is dependent on the financial goals for the year 2015. </w:t>
      </w:r>
      <w:r w:rsidRPr="003C4F2E">
        <w:rPr>
          <w:rFonts w:ascii="Times New Roman" w:hAnsi="Times New Roman" w:cs="Times New Roman"/>
          <w:noProof/>
          <w:sz w:val="24"/>
          <w:szCs w:val="24"/>
        </w:rPr>
        <w:t>Barclays’</w:t>
      </w:r>
      <w:r w:rsidRPr="003C4F2E">
        <w:rPr>
          <w:rFonts w:ascii="Times New Roman" w:hAnsi="Times New Roman" w:cs="Times New Roman"/>
          <w:sz w:val="24"/>
          <w:szCs w:val="24"/>
        </w:rPr>
        <w:t xml:space="preserve"> financials show that the bank has been spending a lot on long term projects since 2011 and in the year </w:t>
      </w:r>
      <w:r w:rsidRPr="003C4F2E">
        <w:rPr>
          <w:rFonts w:ascii="Times New Roman" w:hAnsi="Times New Roman" w:cs="Times New Roman"/>
          <w:noProof/>
          <w:sz w:val="24"/>
          <w:szCs w:val="24"/>
        </w:rPr>
        <w:t>2015,</w:t>
      </w:r>
      <w:r w:rsidRPr="003C4F2E">
        <w:rPr>
          <w:rFonts w:ascii="Times New Roman" w:hAnsi="Times New Roman" w:cs="Times New Roman"/>
          <w:sz w:val="24"/>
          <w:szCs w:val="24"/>
        </w:rPr>
        <w:t xml:space="preserve"> some of the projects had matured giving the company a huge boost to its cash inflow. The company did this because it had a </w:t>
      </w:r>
      <w:r w:rsidRPr="003C4F2E">
        <w:rPr>
          <w:rFonts w:ascii="Times New Roman" w:hAnsi="Times New Roman" w:cs="Times New Roman"/>
          <w:noProof/>
          <w:sz w:val="24"/>
          <w:szCs w:val="24"/>
        </w:rPr>
        <w:t>fairly</w:t>
      </w:r>
      <w:r w:rsidRPr="003C4F2E">
        <w:rPr>
          <w:rFonts w:ascii="Times New Roman" w:hAnsi="Times New Roman" w:cs="Times New Roman"/>
          <w:sz w:val="24"/>
          <w:szCs w:val="24"/>
        </w:rPr>
        <w:t xml:space="preserve"> stable cash flow compared to Lloyd. Barclays’ current ratio for the year 2015 was 0.45 compared to Lloyd’s 0.14. Therefore, Barclays had a better chance financially of meeting its liabilities even if some the projects failed as Dahl (2012) found in his study. In other words, the company was following </w:t>
      </w:r>
      <w:r w:rsidRPr="003C4F2E">
        <w:rPr>
          <w:rFonts w:ascii="Times New Roman" w:hAnsi="Times New Roman" w:cs="Times New Roman"/>
          <w:noProof/>
          <w:sz w:val="24"/>
          <w:szCs w:val="24"/>
        </w:rPr>
        <w:t>economic</w:t>
      </w:r>
      <w:r w:rsidRPr="003C4F2E">
        <w:rPr>
          <w:rFonts w:ascii="Times New Roman" w:hAnsi="Times New Roman" w:cs="Times New Roman"/>
          <w:sz w:val="24"/>
          <w:szCs w:val="24"/>
        </w:rPr>
        <w:t xml:space="preserve"> logic by investing in risky projects throughout the year 2015 because it had a good backing of liquidity in its reserve. It also enabled the bank to engage in long term debt issuance. Lloyd’s current ratio was too low for the company to consider risky investment leave alone long term projects. </w:t>
      </w:r>
      <w:r w:rsidRPr="003C4F2E">
        <w:rPr>
          <w:rFonts w:ascii="Times New Roman" w:hAnsi="Times New Roman" w:cs="Times New Roman"/>
          <w:noProof/>
          <w:sz w:val="24"/>
          <w:szCs w:val="24"/>
        </w:rPr>
        <w:t>This is the</w:t>
      </w:r>
      <w:r w:rsidRPr="003C4F2E">
        <w:rPr>
          <w:rFonts w:ascii="Times New Roman" w:hAnsi="Times New Roman" w:cs="Times New Roman"/>
          <w:sz w:val="24"/>
          <w:szCs w:val="24"/>
        </w:rPr>
        <w:t xml:space="preserve"> </w:t>
      </w:r>
      <w:r w:rsidRPr="003C4F2E">
        <w:rPr>
          <w:rFonts w:ascii="Times New Roman" w:hAnsi="Times New Roman" w:cs="Times New Roman"/>
          <w:noProof/>
          <w:sz w:val="24"/>
          <w:szCs w:val="24"/>
        </w:rPr>
        <w:t>rationale</w:t>
      </w:r>
      <w:r w:rsidRPr="003C4F2E">
        <w:rPr>
          <w:rFonts w:ascii="Times New Roman" w:hAnsi="Times New Roman" w:cs="Times New Roman"/>
          <w:sz w:val="24"/>
          <w:szCs w:val="24"/>
        </w:rPr>
        <w:t xml:space="preserve"> for the less risk approach in financial and investment activities from the bank (</w:t>
      </w:r>
      <w:proofErr w:type="spellStart"/>
      <w:r w:rsidRPr="003C4F2E">
        <w:rPr>
          <w:rFonts w:ascii="Times New Roman" w:hAnsi="Times New Roman" w:cs="Times New Roman"/>
          <w:sz w:val="24"/>
          <w:szCs w:val="24"/>
        </w:rPr>
        <w:t>Weygard</w:t>
      </w:r>
      <w:proofErr w:type="spellEnd"/>
      <w:r w:rsidRPr="003C4F2E">
        <w:rPr>
          <w:rFonts w:ascii="Times New Roman" w:hAnsi="Times New Roman" w:cs="Times New Roman"/>
          <w:sz w:val="24"/>
          <w:szCs w:val="24"/>
        </w:rPr>
        <w:t xml:space="preserve">, 2010). </w:t>
      </w:r>
    </w:p>
    <w:p w:rsidR="003C4F2E" w:rsidRDefault="003C4F2E" w:rsidP="003C4F2E">
      <w:pPr>
        <w:spacing w:line="480" w:lineRule="auto"/>
        <w:rPr>
          <w:rFonts w:ascii="Times New Roman" w:hAnsi="Times New Roman" w:cs="Times New Roman"/>
          <w:b/>
          <w:sz w:val="24"/>
          <w:szCs w:val="24"/>
        </w:rPr>
      </w:pPr>
    </w:p>
    <w:p w:rsidR="003C4F2E" w:rsidRPr="003C4F2E" w:rsidRDefault="003C4F2E" w:rsidP="003C4F2E">
      <w:pPr>
        <w:spacing w:line="480" w:lineRule="auto"/>
        <w:jc w:val="center"/>
        <w:rPr>
          <w:rFonts w:ascii="Times New Roman" w:hAnsi="Times New Roman" w:cs="Times New Roman"/>
          <w:b/>
          <w:sz w:val="24"/>
          <w:szCs w:val="24"/>
        </w:rPr>
      </w:pPr>
      <w:r w:rsidRPr="003C4F2E">
        <w:rPr>
          <w:rFonts w:ascii="Times New Roman" w:hAnsi="Times New Roman" w:cs="Times New Roman"/>
          <w:b/>
          <w:sz w:val="24"/>
          <w:szCs w:val="24"/>
        </w:rPr>
        <w:lastRenderedPageBreak/>
        <w:t>Summary of the Key Findings from Weeks 1 to 3 of the Final Project</w:t>
      </w:r>
    </w:p>
    <w:p w:rsidR="003C4F2E" w:rsidRDefault="003C4F2E" w:rsidP="003C4F2E">
      <w:pPr>
        <w:spacing w:line="480" w:lineRule="auto"/>
        <w:ind w:firstLine="720"/>
        <w:rPr>
          <w:rFonts w:ascii="Times New Roman" w:hAnsi="Times New Roman" w:cs="Times New Roman"/>
          <w:sz w:val="24"/>
          <w:szCs w:val="24"/>
        </w:rPr>
      </w:pPr>
      <w:r w:rsidRPr="003C4F2E">
        <w:rPr>
          <w:rFonts w:ascii="Times New Roman" w:hAnsi="Times New Roman" w:cs="Times New Roman"/>
          <w:sz w:val="24"/>
          <w:szCs w:val="24"/>
        </w:rPr>
        <w:t xml:space="preserve">Barclays PLC and Lloyds Banking Group, both firms choose different financial strategies for the year 2015. However, as the report has demonstrated, the choices were informed by the previous years’ performances for each bank. Lloyd Bank had performed poorly compared to Barclays and consequently its current ratio was too low for it considers a similar approach to that of Barclays. Therefore, each firm’s strategy for the year 2015 was well informed and was in the best interest of each bank. </w:t>
      </w:r>
    </w:p>
    <w:p w:rsidR="003C4F2E" w:rsidRDefault="003C4F2E" w:rsidP="003C4F2E">
      <w:pPr>
        <w:spacing w:line="480" w:lineRule="auto"/>
        <w:ind w:firstLine="720"/>
        <w:rPr>
          <w:rFonts w:ascii="Times New Roman" w:hAnsi="Times New Roman" w:cs="Times New Roman"/>
          <w:sz w:val="24"/>
          <w:szCs w:val="24"/>
        </w:rPr>
      </w:pPr>
    </w:p>
    <w:p w:rsidR="003C4F2E" w:rsidRDefault="003C4F2E" w:rsidP="003C4F2E">
      <w:pPr>
        <w:spacing w:line="480" w:lineRule="auto"/>
        <w:ind w:firstLine="720"/>
        <w:rPr>
          <w:rFonts w:ascii="Times New Roman" w:hAnsi="Times New Roman" w:cs="Times New Roman"/>
          <w:sz w:val="24"/>
          <w:szCs w:val="24"/>
        </w:rPr>
      </w:pPr>
    </w:p>
    <w:p w:rsidR="003C4F2E" w:rsidRDefault="003C4F2E" w:rsidP="003C4F2E">
      <w:pPr>
        <w:spacing w:line="480" w:lineRule="auto"/>
        <w:ind w:firstLine="720"/>
        <w:rPr>
          <w:rFonts w:ascii="Times New Roman" w:hAnsi="Times New Roman" w:cs="Times New Roman"/>
          <w:sz w:val="24"/>
          <w:szCs w:val="24"/>
        </w:rPr>
      </w:pPr>
    </w:p>
    <w:p w:rsidR="003C4F2E" w:rsidRDefault="003C4F2E" w:rsidP="003C4F2E">
      <w:pPr>
        <w:spacing w:line="480" w:lineRule="auto"/>
        <w:ind w:firstLine="720"/>
        <w:rPr>
          <w:rFonts w:ascii="Times New Roman" w:hAnsi="Times New Roman" w:cs="Times New Roman"/>
          <w:sz w:val="24"/>
          <w:szCs w:val="24"/>
        </w:rPr>
      </w:pPr>
    </w:p>
    <w:p w:rsidR="003C4F2E" w:rsidRDefault="003C4F2E" w:rsidP="003C4F2E">
      <w:pPr>
        <w:spacing w:line="480" w:lineRule="auto"/>
        <w:ind w:firstLine="720"/>
        <w:rPr>
          <w:rFonts w:ascii="Times New Roman" w:hAnsi="Times New Roman" w:cs="Times New Roman"/>
          <w:sz w:val="24"/>
          <w:szCs w:val="24"/>
        </w:rPr>
      </w:pPr>
    </w:p>
    <w:p w:rsidR="003C4F2E" w:rsidRDefault="003C4F2E" w:rsidP="003C4F2E">
      <w:pPr>
        <w:spacing w:line="480" w:lineRule="auto"/>
        <w:ind w:firstLine="720"/>
        <w:rPr>
          <w:rFonts w:ascii="Times New Roman" w:hAnsi="Times New Roman" w:cs="Times New Roman"/>
          <w:sz w:val="24"/>
          <w:szCs w:val="24"/>
        </w:rPr>
      </w:pPr>
    </w:p>
    <w:p w:rsidR="003C4F2E" w:rsidRDefault="003C4F2E" w:rsidP="003C4F2E">
      <w:pPr>
        <w:spacing w:line="480" w:lineRule="auto"/>
        <w:ind w:firstLine="720"/>
        <w:rPr>
          <w:rFonts w:ascii="Times New Roman" w:hAnsi="Times New Roman" w:cs="Times New Roman"/>
          <w:sz w:val="24"/>
          <w:szCs w:val="24"/>
        </w:rPr>
      </w:pPr>
    </w:p>
    <w:p w:rsidR="003C4F2E" w:rsidRDefault="003C4F2E" w:rsidP="003C4F2E">
      <w:pPr>
        <w:pStyle w:val="Heading1"/>
      </w:pPr>
    </w:p>
    <w:p w:rsidR="003C4F2E" w:rsidRDefault="003C4F2E" w:rsidP="003C4F2E">
      <w:pPr>
        <w:rPr>
          <w:lang/>
        </w:rPr>
      </w:pPr>
    </w:p>
    <w:p w:rsidR="003C4F2E" w:rsidRPr="003C4F2E" w:rsidRDefault="003C4F2E" w:rsidP="003C4F2E">
      <w:pPr>
        <w:rPr>
          <w:lang/>
        </w:rPr>
      </w:pPr>
    </w:p>
    <w:p w:rsidR="003C4F2E" w:rsidRDefault="003C4F2E" w:rsidP="003C4F2E">
      <w:pPr>
        <w:jc w:val="center"/>
        <w:rPr>
          <w:rFonts w:ascii="Times New Roman" w:hAnsi="Times New Roman" w:cs="Times New Roman"/>
          <w:b/>
          <w:sz w:val="24"/>
          <w:szCs w:val="24"/>
        </w:rPr>
      </w:pPr>
    </w:p>
    <w:p w:rsidR="003C4F2E" w:rsidRDefault="003C4F2E" w:rsidP="003C4F2E">
      <w:pPr>
        <w:jc w:val="center"/>
        <w:rPr>
          <w:rFonts w:ascii="Times New Roman" w:hAnsi="Times New Roman" w:cs="Times New Roman"/>
          <w:b/>
          <w:sz w:val="24"/>
          <w:szCs w:val="24"/>
        </w:rPr>
      </w:pPr>
    </w:p>
    <w:p w:rsidR="003C4F2E" w:rsidRDefault="003C4F2E" w:rsidP="003C4F2E">
      <w:pPr>
        <w:jc w:val="center"/>
        <w:rPr>
          <w:rFonts w:ascii="Times New Roman" w:hAnsi="Times New Roman" w:cs="Times New Roman"/>
          <w:b/>
          <w:sz w:val="24"/>
          <w:szCs w:val="24"/>
        </w:rPr>
      </w:pPr>
    </w:p>
    <w:p w:rsidR="003C4F2E" w:rsidRDefault="003C4F2E" w:rsidP="00AA3D11">
      <w:pPr>
        <w:spacing w:before="240"/>
        <w:jc w:val="center"/>
        <w:rPr>
          <w:rFonts w:ascii="Times New Roman" w:hAnsi="Times New Roman" w:cs="Times New Roman"/>
          <w:b/>
          <w:sz w:val="24"/>
          <w:szCs w:val="24"/>
        </w:rPr>
      </w:pPr>
    </w:p>
    <w:p w:rsidR="003C4F2E" w:rsidRPr="003C4F2E" w:rsidRDefault="003C4F2E" w:rsidP="00AA3D11">
      <w:pPr>
        <w:spacing w:before="240"/>
        <w:jc w:val="center"/>
        <w:rPr>
          <w:rFonts w:ascii="Times New Roman" w:hAnsi="Times New Roman" w:cs="Times New Roman"/>
          <w:b/>
          <w:sz w:val="24"/>
          <w:szCs w:val="24"/>
        </w:rPr>
      </w:pPr>
      <w:r w:rsidRPr="003C4F2E">
        <w:rPr>
          <w:rFonts w:ascii="Times New Roman" w:hAnsi="Times New Roman" w:cs="Times New Roman"/>
          <w:b/>
          <w:sz w:val="24"/>
          <w:szCs w:val="24"/>
        </w:rPr>
        <w:lastRenderedPageBreak/>
        <w:t>References</w:t>
      </w:r>
    </w:p>
    <w:p w:rsidR="003C4F2E" w:rsidRPr="003C4F2E" w:rsidRDefault="003C4F2E" w:rsidP="00AA3D11">
      <w:pPr>
        <w:tabs>
          <w:tab w:val="left" w:pos="630"/>
        </w:tabs>
        <w:spacing w:before="240" w:after="0" w:line="480" w:lineRule="auto"/>
        <w:ind w:left="720" w:hanging="720"/>
        <w:rPr>
          <w:rFonts w:ascii="Times New Roman" w:hAnsi="Times New Roman" w:cs="Times New Roman"/>
          <w:sz w:val="24"/>
          <w:szCs w:val="24"/>
        </w:rPr>
      </w:pPr>
      <w:r w:rsidRPr="003C4F2E">
        <w:rPr>
          <w:rFonts w:ascii="Times New Roman" w:hAnsi="Times New Roman" w:cs="Times New Roman"/>
          <w:sz w:val="24"/>
          <w:szCs w:val="24"/>
        </w:rPr>
        <w:t xml:space="preserve">Barclays. </w:t>
      </w:r>
      <w:proofErr w:type="gramStart"/>
      <w:r w:rsidRPr="003C4F2E">
        <w:rPr>
          <w:rFonts w:ascii="Times New Roman" w:hAnsi="Times New Roman" w:cs="Times New Roman"/>
          <w:sz w:val="24"/>
          <w:szCs w:val="24"/>
        </w:rPr>
        <w:t xml:space="preserve">(2016). </w:t>
      </w:r>
      <w:r w:rsidRPr="003C4F2E">
        <w:rPr>
          <w:rFonts w:ascii="Times New Roman" w:hAnsi="Times New Roman" w:cs="Times New Roman"/>
          <w:i/>
          <w:sz w:val="24"/>
          <w:szCs w:val="24"/>
        </w:rPr>
        <w:t>Annual Reports.</w:t>
      </w:r>
      <w:proofErr w:type="gramEnd"/>
      <w:r w:rsidRPr="003C4F2E">
        <w:rPr>
          <w:rFonts w:ascii="Times New Roman" w:hAnsi="Times New Roman" w:cs="Times New Roman"/>
          <w:sz w:val="24"/>
          <w:szCs w:val="24"/>
        </w:rPr>
        <w:t xml:space="preserve"> Retrieved from https://www.home.barclays/barclays-investor-relations/results-and-reports/annual-reports.html</w:t>
      </w:r>
    </w:p>
    <w:p w:rsidR="003C4F2E" w:rsidRPr="003C4F2E" w:rsidRDefault="003C4F2E" w:rsidP="00AA3D11">
      <w:pPr>
        <w:tabs>
          <w:tab w:val="left" w:pos="630"/>
        </w:tabs>
        <w:spacing w:before="240" w:after="0" w:line="480" w:lineRule="auto"/>
        <w:ind w:left="720" w:hanging="720"/>
        <w:rPr>
          <w:rFonts w:ascii="Times New Roman" w:hAnsi="Times New Roman" w:cs="Times New Roman"/>
          <w:sz w:val="24"/>
          <w:szCs w:val="24"/>
        </w:rPr>
      </w:pPr>
      <w:proofErr w:type="gramStart"/>
      <w:r w:rsidRPr="003C4F2E">
        <w:rPr>
          <w:rFonts w:ascii="Times New Roman" w:hAnsi="Times New Roman" w:cs="Times New Roman"/>
          <w:sz w:val="24"/>
          <w:szCs w:val="24"/>
        </w:rPr>
        <w:t>Dahl, D. (2012).</w:t>
      </w:r>
      <w:proofErr w:type="gramEnd"/>
      <w:r w:rsidRPr="003C4F2E">
        <w:rPr>
          <w:rFonts w:ascii="Times New Roman" w:hAnsi="Times New Roman" w:cs="Times New Roman"/>
          <w:sz w:val="24"/>
          <w:szCs w:val="24"/>
        </w:rPr>
        <w:t xml:space="preserve"> </w:t>
      </w:r>
      <w:r w:rsidRPr="00AA3D11">
        <w:rPr>
          <w:rFonts w:ascii="Times New Roman" w:hAnsi="Times New Roman" w:cs="Times New Roman"/>
          <w:i/>
          <w:sz w:val="24"/>
          <w:szCs w:val="24"/>
        </w:rPr>
        <w:t>Coincident correlations of growth and cash flow in banking.</w:t>
      </w:r>
      <w:r w:rsidRPr="003C4F2E">
        <w:rPr>
          <w:rFonts w:ascii="Times New Roman" w:hAnsi="Times New Roman" w:cs="Times New Roman"/>
          <w:sz w:val="24"/>
          <w:szCs w:val="24"/>
        </w:rPr>
        <w:t> </w:t>
      </w:r>
      <w:r w:rsidRPr="00AA3D11">
        <w:rPr>
          <w:rFonts w:ascii="Times New Roman" w:hAnsi="Times New Roman" w:cs="Times New Roman"/>
          <w:iCs/>
          <w:sz w:val="24"/>
          <w:szCs w:val="24"/>
        </w:rPr>
        <w:t xml:space="preserve">Journal </w:t>
      </w:r>
      <w:r w:rsidR="00AA3D11" w:rsidRPr="00AA3D11">
        <w:rPr>
          <w:rFonts w:ascii="Times New Roman" w:hAnsi="Times New Roman" w:cs="Times New Roman"/>
          <w:iCs/>
          <w:sz w:val="24"/>
          <w:szCs w:val="24"/>
        </w:rPr>
        <w:t>of</w:t>
      </w:r>
      <w:r w:rsidRPr="00AA3D11">
        <w:rPr>
          <w:rFonts w:ascii="Times New Roman" w:hAnsi="Times New Roman" w:cs="Times New Roman"/>
          <w:iCs/>
          <w:sz w:val="24"/>
          <w:szCs w:val="24"/>
        </w:rPr>
        <w:t xml:space="preserve"> Banking &amp; Finance</w:t>
      </w:r>
      <w:r w:rsidRPr="00AA3D11">
        <w:rPr>
          <w:rFonts w:ascii="Times New Roman" w:hAnsi="Times New Roman" w:cs="Times New Roman"/>
          <w:sz w:val="24"/>
          <w:szCs w:val="24"/>
        </w:rPr>
        <w:t>, </w:t>
      </w:r>
      <w:r w:rsidRPr="003C4F2E">
        <w:rPr>
          <w:rFonts w:ascii="Times New Roman" w:hAnsi="Times New Roman" w:cs="Times New Roman"/>
          <w:i/>
          <w:iCs/>
          <w:sz w:val="24"/>
          <w:szCs w:val="24"/>
        </w:rPr>
        <w:t>36</w:t>
      </w:r>
      <w:r w:rsidRPr="003C4F2E">
        <w:rPr>
          <w:rFonts w:ascii="Times New Roman" w:hAnsi="Times New Roman" w:cs="Times New Roman"/>
          <w:sz w:val="24"/>
          <w:szCs w:val="24"/>
        </w:rPr>
        <w:t>(4), 1139-1143. </w:t>
      </w:r>
    </w:p>
    <w:p w:rsidR="003C4F2E" w:rsidRPr="003C4F2E" w:rsidRDefault="003C4F2E" w:rsidP="00AA3D11">
      <w:pPr>
        <w:tabs>
          <w:tab w:val="left" w:pos="630"/>
        </w:tabs>
        <w:spacing w:before="240" w:after="0" w:line="480" w:lineRule="auto"/>
        <w:ind w:left="720" w:hanging="720"/>
        <w:rPr>
          <w:rFonts w:ascii="Times New Roman" w:hAnsi="Times New Roman" w:cs="Times New Roman"/>
          <w:sz w:val="24"/>
          <w:szCs w:val="24"/>
        </w:rPr>
      </w:pPr>
      <w:r w:rsidRPr="003C4F2E">
        <w:rPr>
          <w:rFonts w:ascii="Times New Roman" w:hAnsi="Times New Roman" w:cs="Times New Roman"/>
          <w:sz w:val="24"/>
          <w:szCs w:val="24"/>
        </w:rPr>
        <w:t xml:space="preserve">Lloyds Banking Group. </w:t>
      </w:r>
      <w:proofErr w:type="gramStart"/>
      <w:r w:rsidRPr="003C4F2E">
        <w:rPr>
          <w:rFonts w:ascii="Times New Roman" w:hAnsi="Times New Roman" w:cs="Times New Roman"/>
          <w:sz w:val="24"/>
          <w:szCs w:val="24"/>
        </w:rPr>
        <w:t xml:space="preserve">(2016). </w:t>
      </w:r>
      <w:r w:rsidRPr="003C4F2E">
        <w:rPr>
          <w:rFonts w:ascii="Times New Roman" w:hAnsi="Times New Roman" w:cs="Times New Roman"/>
          <w:i/>
          <w:sz w:val="24"/>
          <w:szCs w:val="24"/>
        </w:rPr>
        <w:t>Annual Reports.</w:t>
      </w:r>
      <w:proofErr w:type="gramEnd"/>
      <w:r w:rsidRPr="003C4F2E">
        <w:rPr>
          <w:rFonts w:ascii="Times New Roman" w:hAnsi="Times New Roman" w:cs="Times New Roman"/>
          <w:sz w:val="24"/>
          <w:szCs w:val="24"/>
        </w:rPr>
        <w:t xml:space="preserve"> Retrieved from http://www.lloydsbankinggroup.com/investors/annual-reports/</w:t>
      </w:r>
    </w:p>
    <w:p w:rsidR="003C4F2E" w:rsidRPr="003C4F2E" w:rsidRDefault="003C4F2E" w:rsidP="00AA3D11">
      <w:pPr>
        <w:tabs>
          <w:tab w:val="left" w:pos="630"/>
        </w:tabs>
        <w:spacing w:before="240" w:after="0" w:line="480" w:lineRule="auto"/>
        <w:ind w:left="720" w:hanging="720"/>
        <w:rPr>
          <w:rFonts w:ascii="Times New Roman" w:hAnsi="Times New Roman" w:cs="Times New Roman"/>
          <w:sz w:val="24"/>
          <w:szCs w:val="24"/>
        </w:rPr>
      </w:pPr>
      <w:proofErr w:type="gramStart"/>
      <w:r w:rsidRPr="003C4F2E">
        <w:rPr>
          <w:rFonts w:ascii="Times New Roman" w:hAnsi="Times New Roman" w:cs="Times New Roman"/>
          <w:sz w:val="24"/>
          <w:szCs w:val="24"/>
        </w:rPr>
        <w:t>Long, K. (2017).</w:t>
      </w:r>
      <w:proofErr w:type="gramEnd"/>
      <w:r w:rsidRPr="003C4F2E">
        <w:rPr>
          <w:rFonts w:ascii="Times New Roman" w:hAnsi="Times New Roman" w:cs="Times New Roman"/>
          <w:sz w:val="24"/>
          <w:szCs w:val="24"/>
        </w:rPr>
        <w:t xml:space="preserve"> </w:t>
      </w:r>
      <w:proofErr w:type="gramStart"/>
      <w:r w:rsidRPr="00AA3D11">
        <w:rPr>
          <w:rFonts w:ascii="Times New Roman" w:hAnsi="Times New Roman" w:cs="Times New Roman"/>
          <w:i/>
          <w:sz w:val="24"/>
          <w:szCs w:val="24"/>
        </w:rPr>
        <w:t>When quality not quantity counts in cash management.</w:t>
      </w:r>
      <w:proofErr w:type="gramEnd"/>
      <w:r w:rsidRPr="00AA3D11">
        <w:rPr>
          <w:rFonts w:ascii="Times New Roman" w:hAnsi="Times New Roman" w:cs="Times New Roman"/>
          <w:i/>
          <w:sz w:val="24"/>
          <w:szCs w:val="24"/>
        </w:rPr>
        <w:t> </w:t>
      </w:r>
      <w:proofErr w:type="spellStart"/>
      <w:r w:rsidRPr="00AA3D11">
        <w:rPr>
          <w:rFonts w:ascii="Times New Roman" w:hAnsi="Times New Roman" w:cs="Times New Roman"/>
          <w:iCs/>
          <w:sz w:val="24"/>
          <w:szCs w:val="24"/>
        </w:rPr>
        <w:t>Euromoney</w:t>
      </w:r>
      <w:proofErr w:type="spellEnd"/>
      <w:r w:rsidRPr="00AA3D11">
        <w:rPr>
          <w:rFonts w:ascii="Times New Roman" w:hAnsi="Times New Roman" w:cs="Times New Roman"/>
          <w:sz w:val="24"/>
          <w:szCs w:val="24"/>
        </w:rPr>
        <w:t>, </w:t>
      </w:r>
      <w:r w:rsidRPr="00AA3D11">
        <w:rPr>
          <w:rFonts w:ascii="Times New Roman" w:hAnsi="Times New Roman" w:cs="Times New Roman"/>
          <w:iCs/>
          <w:sz w:val="24"/>
          <w:szCs w:val="24"/>
        </w:rPr>
        <w:t>48</w:t>
      </w:r>
      <w:r w:rsidRPr="00AA3D11">
        <w:rPr>
          <w:rFonts w:ascii="Times New Roman" w:hAnsi="Times New Roman" w:cs="Times New Roman"/>
          <w:sz w:val="24"/>
          <w:szCs w:val="24"/>
        </w:rPr>
        <w:t>(573),</w:t>
      </w:r>
      <w:r w:rsidRPr="003C4F2E">
        <w:rPr>
          <w:rFonts w:ascii="Times New Roman" w:hAnsi="Times New Roman" w:cs="Times New Roman"/>
          <w:sz w:val="24"/>
          <w:szCs w:val="24"/>
        </w:rPr>
        <w:t xml:space="preserve"> 67-71.</w:t>
      </w:r>
    </w:p>
    <w:p w:rsidR="003C4F2E" w:rsidRPr="003C4F2E" w:rsidRDefault="003C4F2E" w:rsidP="00AA3D11">
      <w:pPr>
        <w:tabs>
          <w:tab w:val="left" w:pos="630"/>
        </w:tabs>
        <w:spacing w:before="240" w:after="0" w:line="480" w:lineRule="auto"/>
        <w:ind w:left="720" w:hanging="720"/>
        <w:rPr>
          <w:rFonts w:ascii="Times New Roman" w:hAnsi="Times New Roman" w:cs="Times New Roman"/>
          <w:sz w:val="24"/>
          <w:szCs w:val="24"/>
        </w:rPr>
      </w:pPr>
      <w:proofErr w:type="spellStart"/>
      <w:r w:rsidRPr="003C4F2E">
        <w:rPr>
          <w:rFonts w:ascii="Times New Roman" w:hAnsi="Times New Roman" w:cs="Times New Roman"/>
          <w:sz w:val="24"/>
          <w:szCs w:val="24"/>
        </w:rPr>
        <w:t>Parrino</w:t>
      </w:r>
      <w:proofErr w:type="spellEnd"/>
      <w:r w:rsidRPr="003C4F2E">
        <w:rPr>
          <w:rFonts w:ascii="Times New Roman" w:hAnsi="Times New Roman" w:cs="Times New Roman"/>
          <w:sz w:val="24"/>
          <w:szCs w:val="24"/>
        </w:rPr>
        <w:t xml:space="preserve">, P. M. (2011). </w:t>
      </w:r>
      <w:proofErr w:type="gramStart"/>
      <w:r w:rsidRPr="003C4F2E">
        <w:rPr>
          <w:rFonts w:ascii="Times New Roman" w:hAnsi="Times New Roman" w:cs="Times New Roman"/>
          <w:i/>
          <w:sz w:val="24"/>
          <w:szCs w:val="24"/>
        </w:rPr>
        <w:t>Corporate Finance.</w:t>
      </w:r>
      <w:proofErr w:type="gramEnd"/>
      <w:r w:rsidRPr="003C4F2E">
        <w:rPr>
          <w:rFonts w:ascii="Times New Roman" w:hAnsi="Times New Roman" w:cs="Times New Roman"/>
          <w:sz w:val="24"/>
          <w:szCs w:val="24"/>
        </w:rPr>
        <w:t xml:space="preserve"> Glasgow: John Wiley &amp; Sons.</w:t>
      </w:r>
    </w:p>
    <w:p w:rsidR="003C4F2E" w:rsidRPr="003C4F2E" w:rsidRDefault="003C4F2E" w:rsidP="00AA3D11">
      <w:pPr>
        <w:tabs>
          <w:tab w:val="left" w:pos="630"/>
        </w:tabs>
        <w:spacing w:before="240" w:after="0" w:line="480" w:lineRule="auto"/>
        <w:ind w:left="720" w:hanging="720"/>
        <w:rPr>
          <w:rFonts w:ascii="Times New Roman" w:hAnsi="Times New Roman" w:cs="Times New Roman"/>
          <w:sz w:val="24"/>
          <w:szCs w:val="24"/>
        </w:rPr>
      </w:pPr>
      <w:proofErr w:type="spellStart"/>
      <w:proofErr w:type="gramStart"/>
      <w:r w:rsidRPr="003C4F2E">
        <w:rPr>
          <w:rFonts w:ascii="Times New Roman" w:hAnsi="Times New Roman" w:cs="Times New Roman"/>
          <w:sz w:val="24"/>
          <w:szCs w:val="24"/>
        </w:rPr>
        <w:t>Weygard</w:t>
      </w:r>
      <w:proofErr w:type="spellEnd"/>
      <w:r w:rsidRPr="003C4F2E">
        <w:rPr>
          <w:rFonts w:ascii="Times New Roman" w:hAnsi="Times New Roman" w:cs="Times New Roman"/>
          <w:sz w:val="24"/>
          <w:szCs w:val="24"/>
        </w:rPr>
        <w:t>, D. E. (2010).</w:t>
      </w:r>
      <w:proofErr w:type="gramEnd"/>
      <w:r w:rsidRPr="003C4F2E">
        <w:rPr>
          <w:rFonts w:ascii="Times New Roman" w:hAnsi="Times New Roman" w:cs="Times New Roman"/>
          <w:sz w:val="24"/>
          <w:szCs w:val="24"/>
        </w:rPr>
        <w:t xml:space="preserve"> </w:t>
      </w:r>
      <w:r w:rsidRPr="003C4F2E">
        <w:rPr>
          <w:rFonts w:ascii="Times New Roman" w:hAnsi="Times New Roman" w:cs="Times New Roman"/>
          <w:i/>
          <w:sz w:val="24"/>
          <w:szCs w:val="24"/>
        </w:rPr>
        <w:t>Intermediate Accounting: IFRS.</w:t>
      </w:r>
      <w:r w:rsidRPr="003C4F2E">
        <w:rPr>
          <w:rFonts w:ascii="Times New Roman" w:hAnsi="Times New Roman" w:cs="Times New Roman"/>
          <w:sz w:val="24"/>
          <w:szCs w:val="24"/>
        </w:rPr>
        <w:t xml:space="preserve"> New Jersey: John Wily &amp; Sons.</w:t>
      </w:r>
    </w:p>
    <w:p w:rsidR="003C4F2E" w:rsidRPr="003C4F2E" w:rsidRDefault="003C4F2E" w:rsidP="00AA3D11">
      <w:pPr>
        <w:spacing w:before="240" w:line="480" w:lineRule="auto"/>
        <w:rPr>
          <w:rFonts w:ascii="Times New Roman" w:hAnsi="Times New Roman" w:cs="Times New Roman"/>
          <w:b/>
          <w:sz w:val="24"/>
          <w:szCs w:val="24"/>
        </w:rPr>
      </w:pPr>
    </w:p>
    <w:p w:rsidR="00121B70" w:rsidRPr="003C4F2E" w:rsidRDefault="00121B70" w:rsidP="00AA3D11">
      <w:pPr>
        <w:spacing w:before="240" w:line="480" w:lineRule="auto"/>
        <w:rPr>
          <w:rFonts w:ascii="Times New Roman" w:hAnsi="Times New Roman" w:cs="Times New Roman"/>
          <w:b/>
          <w:sz w:val="24"/>
          <w:szCs w:val="24"/>
        </w:rPr>
      </w:pPr>
    </w:p>
    <w:sectPr w:rsidR="00121B70" w:rsidRPr="003C4F2E" w:rsidSect="00121B7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1DD" w:rsidRDefault="004C01DD" w:rsidP="00121B70">
      <w:pPr>
        <w:spacing w:after="0" w:line="240" w:lineRule="auto"/>
      </w:pPr>
      <w:r>
        <w:separator/>
      </w:r>
    </w:p>
  </w:endnote>
  <w:endnote w:type="continuationSeparator" w:id="0">
    <w:p w:rsidR="004C01DD" w:rsidRDefault="004C01DD" w:rsidP="00121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1DD" w:rsidRDefault="004C01DD" w:rsidP="00121B70">
      <w:pPr>
        <w:spacing w:after="0" w:line="240" w:lineRule="auto"/>
      </w:pPr>
      <w:r>
        <w:separator/>
      </w:r>
    </w:p>
  </w:footnote>
  <w:footnote w:type="continuationSeparator" w:id="0">
    <w:p w:rsidR="004C01DD" w:rsidRDefault="004C01DD" w:rsidP="00121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B70" w:rsidRPr="00121B70" w:rsidRDefault="00121B70">
    <w:pPr>
      <w:pStyle w:val="Header"/>
      <w:jc w:val="right"/>
      <w:rPr>
        <w:rFonts w:ascii="Times New Roman" w:hAnsi="Times New Roman" w:cs="Times New Roman"/>
        <w:sz w:val="24"/>
      </w:rPr>
    </w:pPr>
    <w:r w:rsidRPr="00121B70">
      <w:rPr>
        <w:rFonts w:ascii="Times New Roman" w:hAnsi="Times New Roman" w:cs="Times New Roman"/>
        <w:sz w:val="24"/>
      </w:rPr>
      <w:t>Week 3: Final Project Paper</w:t>
    </w:r>
    <w:sdt>
      <w:sdtPr>
        <w:rPr>
          <w:rFonts w:ascii="Times New Roman" w:hAnsi="Times New Roman" w:cs="Times New Roman"/>
          <w:sz w:val="24"/>
        </w:rPr>
        <w:id w:val="8495922"/>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Pr="00121B70">
          <w:rPr>
            <w:rFonts w:ascii="Times New Roman" w:hAnsi="Times New Roman" w:cs="Times New Roman"/>
            <w:sz w:val="24"/>
          </w:rPr>
          <w:fldChar w:fldCharType="begin"/>
        </w:r>
        <w:r w:rsidRPr="00121B70">
          <w:rPr>
            <w:rFonts w:ascii="Times New Roman" w:hAnsi="Times New Roman" w:cs="Times New Roman"/>
            <w:sz w:val="24"/>
          </w:rPr>
          <w:instrText xml:space="preserve"> PAGE   \* MERGEFORMAT </w:instrText>
        </w:r>
        <w:r w:rsidRPr="00121B70">
          <w:rPr>
            <w:rFonts w:ascii="Times New Roman" w:hAnsi="Times New Roman" w:cs="Times New Roman"/>
            <w:sz w:val="24"/>
          </w:rPr>
          <w:fldChar w:fldCharType="separate"/>
        </w:r>
        <w:r w:rsidR="00AA3D11">
          <w:rPr>
            <w:rFonts w:ascii="Times New Roman" w:hAnsi="Times New Roman" w:cs="Times New Roman"/>
            <w:noProof/>
            <w:sz w:val="24"/>
          </w:rPr>
          <w:t>2</w:t>
        </w:r>
        <w:r w:rsidRPr="00121B70">
          <w:rPr>
            <w:rFonts w:ascii="Times New Roman" w:hAnsi="Times New Roman" w:cs="Times New Roman"/>
            <w:sz w:val="24"/>
          </w:rPr>
          <w:fldChar w:fldCharType="end"/>
        </w:r>
      </w:sdtContent>
    </w:sdt>
  </w:p>
  <w:p w:rsidR="00121B70" w:rsidRDefault="00121B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B70" w:rsidRPr="00121B70" w:rsidRDefault="00121B70">
    <w:pPr>
      <w:pStyle w:val="Header"/>
      <w:jc w:val="right"/>
      <w:rPr>
        <w:rFonts w:ascii="Times New Roman" w:hAnsi="Times New Roman" w:cs="Times New Roman"/>
        <w:sz w:val="24"/>
        <w:szCs w:val="24"/>
      </w:rPr>
    </w:pPr>
    <w:r w:rsidRPr="00121B70">
      <w:rPr>
        <w:rFonts w:ascii="Times New Roman" w:hAnsi="Times New Roman" w:cs="Times New Roman"/>
        <w:sz w:val="24"/>
        <w:szCs w:val="24"/>
      </w:rPr>
      <w:t>Running Head: WEEK 3: FINAL PROJECT PAPER</w:t>
    </w:r>
    <w:sdt>
      <w:sdtPr>
        <w:rPr>
          <w:rFonts w:ascii="Times New Roman" w:hAnsi="Times New Roman" w:cs="Times New Roman"/>
          <w:sz w:val="24"/>
          <w:szCs w:val="24"/>
        </w:rPr>
        <w:id w:val="8495927"/>
        <w:docPartObj>
          <w:docPartGallery w:val="Page Numbers (Top of Page)"/>
          <w:docPartUnique/>
        </w:docPartObj>
      </w:sdtPr>
      <w:sdtContent>
        <w:r>
          <w:rPr>
            <w:rFonts w:ascii="Times New Roman" w:hAnsi="Times New Roman" w:cs="Times New Roman"/>
            <w:sz w:val="24"/>
            <w:szCs w:val="24"/>
          </w:rPr>
          <w:tab/>
        </w:r>
        <w:r w:rsidRPr="00121B70">
          <w:rPr>
            <w:rFonts w:ascii="Times New Roman" w:hAnsi="Times New Roman" w:cs="Times New Roman"/>
            <w:sz w:val="24"/>
            <w:szCs w:val="24"/>
          </w:rPr>
          <w:fldChar w:fldCharType="begin"/>
        </w:r>
        <w:r w:rsidRPr="00121B70">
          <w:rPr>
            <w:rFonts w:ascii="Times New Roman" w:hAnsi="Times New Roman" w:cs="Times New Roman"/>
            <w:sz w:val="24"/>
            <w:szCs w:val="24"/>
          </w:rPr>
          <w:instrText xml:space="preserve"> PAGE   \* MERGEFORMAT </w:instrText>
        </w:r>
        <w:r w:rsidRPr="00121B70">
          <w:rPr>
            <w:rFonts w:ascii="Times New Roman" w:hAnsi="Times New Roman" w:cs="Times New Roman"/>
            <w:sz w:val="24"/>
            <w:szCs w:val="24"/>
          </w:rPr>
          <w:fldChar w:fldCharType="separate"/>
        </w:r>
        <w:r w:rsidR="00AA3D11">
          <w:rPr>
            <w:rFonts w:ascii="Times New Roman" w:hAnsi="Times New Roman" w:cs="Times New Roman"/>
            <w:noProof/>
            <w:sz w:val="24"/>
            <w:szCs w:val="24"/>
          </w:rPr>
          <w:t>1</w:t>
        </w:r>
        <w:r w:rsidRPr="00121B70">
          <w:rPr>
            <w:rFonts w:ascii="Times New Roman" w:hAnsi="Times New Roman" w:cs="Times New Roman"/>
            <w:sz w:val="24"/>
            <w:szCs w:val="24"/>
          </w:rPr>
          <w:fldChar w:fldCharType="end"/>
        </w:r>
      </w:sdtContent>
    </w:sdt>
  </w:p>
  <w:p w:rsidR="00121B70" w:rsidRDefault="00121B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21B70"/>
    <w:rsid w:val="0000071B"/>
    <w:rsid w:val="0002400D"/>
    <w:rsid w:val="00121B70"/>
    <w:rsid w:val="003C4F2E"/>
    <w:rsid w:val="004C01DD"/>
    <w:rsid w:val="00AA3D11"/>
    <w:rsid w:val="00B20BCE"/>
    <w:rsid w:val="00B848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70"/>
  </w:style>
  <w:style w:type="paragraph" w:styleId="Heading1">
    <w:name w:val="heading 1"/>
    <w:basedOn w:val="Normal"/>
    <w:next w:val="Normal"/>
    <w:link w:val="Heading1Char"/>
    <w:autoRedefine/>
    <w:uiPriority w:val="9"/>
    <w:qFormat/>
    <w:rsid w:val="003C4F2E"/>
    <w:pPr>
      <w:keepNext/>
      <w:spacing w:before="240" w:after="0" w:line="480" w:lineRule="auto"/>
      <w:jc w:val="center"/>
      <w:outlineLvl w:val="0"/>
    </w:pPr>
    <w:rPr>
      <w:rFonts w:ascii="Times New Roman" w:eastAsia="Calibri" w:hAnsi="Times New Roman" w:cs="Times New Roman"/>
      <w:b/>
      <w:bCs/>
      <w:kern w:val="32"/>
      <w:sz w:val="20"/>
      <w:szCs w:val="32"/>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B70"/>
  </w:style>
  <w:style w:type="paragraph" w:styleId="Footer">
    <w:name w:val="footer"/>
    <w:basedOn w:val="Normal"/>
    <w:link w:val="FooterChar"/>
    <w:uiPriority w:val="99"/>
    <w:semiHidden/>
    <w:unhideWhenUsed/>
    <w:rsid w:val="00121B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1B70"/>
  </w:style>
  <w:style w:type="paragraph" w:styleId="Caption">
    <w:name w:val="caption"/>
    <w:basedOn w:val="Normal"/>
    <w:next w:val="Normal"/>
    <w:uiPriority w:val="35"/>
    <w:unhideWhenUsed/>
    <w:qFormat/>
    <w:rsid w:val="00121B70"/>
    <w:pPr>
      <w:spacing w:line="240" w:lineRule="auto"/>
    </w:pPr>
    <w:rPr>
      <w:rFonts w:ascii="Times New Roman" w:eastAsia="Calibri" w:hAnsi="Times New Roman" w:cs="Times New Roman"/>
      <w:i/>
      <w:iCs/>
      <w:color w:val="44546A"/>
      <w:sz w:val="18"/>
      <w:szCs w:val="18"/>
    </w:rPr>
  </w:style>
  <w:style w:type="character" w:customStyle="1" w:styleId="Heading1Char">
    <w:name w:val="Heading 1 Char"/>
    <w:basedOn w:val="DefaultParagraphFont"/>
    <w:link w:val="Heading1"/>
    <w:uiPriority w:val="9"/>
    <w:rsid w:val="003C4F2E"/>
    <w:rPr>
      <w:rFonts w:ascii="Times New Roman" w:eastAsia="Calibri" w:hAnsi="Times New Roman" w:cs="Times New Roman"/>
      <w:b/>
      <w:bCs/>
      <w:kern w:val="32"/>
      <w:sz w:val="20"/>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1295</Words>
  <Characters>7388</Characters>
  <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