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7C" w:rsidRPr="00DD797E" w:rsidRDefault="00DD797E">
      <w:pPr>
        <w:rPr>
          <w:rFonts w:ascii="Times New Roman" w:hAnsi="Times New Roman" w:cs="Times New Roman"/>
          <w:sz w:val="24"/>
          <w:szCs w:val="24"/>
        </w:rPr>
      </w:pPr>
      <w:r w:rsidRPr="00DD797E">
        <w:rPr>
          <w:rFonts w:ascii="Times New Roman" w:hAnsi="Times New Roman" w:cs="Times New Roman"/>
          <w:sz w:val="24"/>
          <w:szCs w:val="24"/>
        </w:rPr>
        <w:t>Using information from search engines and other credible sources, address the following in this week's discussion: Select two research instruments e.g. surve</w:t>
      </w:r>
      <w:bookmarkStart w:id="0" w:name="_GoBack"/>
      <w:bookmarkEnd w:id="0"/>
      <w:r w:rsidRPr="00DD797E">
        <w:rPr>
          <w:rFonts w:ascii="Times New Roman" w:hAnsi="Times New Roman" w:cs="Times New Roman"/>
          <w:sz w:val="24"/>
          <w:szCs w:val="24"/>
        </w:rPr>
        <w:t>ys, community mapping, interviews etc... Compare and contrast the two tools and provide an example of how these tools might be used appropriately in a needs assessment. Be specific. Give examples.</w:t>
      </w:r>
    </w:p>
    <w:sectPr w:rsidR="00DB227C" w:rsidRPr="00DD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7E"/>
    <w:rsid w:val="00DB227C"/>
    <w:rsid w:val="00D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</Words>
  <Characters>302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