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noProof/>
        </w:rPr>
        <w:id w:val="-1724750495"/>
        <w:docPartObj>
          <w:docPartGallery w:val="Cover Pages"/>
          <w:docPartUnique/>
        </w:docPartObj>
      </w:sdtPr>
      <w:sdtEndPr/>
      <w:sdtContent>
        <w:p w:rsidR="00D01B67" w:rsidRDefault="00583F71">
          <w:pPr>
            <w:rPr>
              <w:noProof/>
            </w:rPr>
          </w:pPr>
          <w:r>
            <w:rPr>
              <w:noProof/>
              <w:lang w:eastAsia="en-US"/>
            </w:rPr>
            <mc:AlternateContent>
              <mc:Choice Requires="wps">
                <w:drawing>
                  <wp:anchor distT="0" distB="0" distL="114300" distR="114300" simplePos="0" relativeHeight="251659264" behindDoc="0" locked="0" layoutInCell="1" allowOverlap="1" wp14:anchorId="57A2F31B" wp14:editId="215535A4">
                    <wp:simplePos x="0" y="0"/>
                    <mc:AlternateContent>
                      <mc:Choice Requires="wp14">
                        <wp:positionH relativeFrom="page">
                          <wp14:pctPosHOffset>9300</wp14:pctPosHOffset>
                        </wp:positionH>
                      </mc:Choice>
                      <mc:Fallback>
                        <wp:positionH relativeFrom="page">
                          <wp:posOffset>722630</wp:posOffset>
                        </wp:positionH>
                      </mc:Fallback>
                    </mc:AlternateContent>
                    <wp:positionV relativeFrom="margin">
                      <wp:align>bottom</wp:align>
                    </wp:positionV>
                    <wp:extent cx="5791200" cy="6210300"/>
                    <wp:effectExtent l="0" t="0" r="12700" b="11430"/>
                    <wp:wrapTopAndBottom/>
                    <wp:docPr id="6" name="Text Box 6" descr="Title, Subtitle, and Abstract"/>
                    <wp:cNvGraphicFramePr/>
                    <a:graphic xmlns:a="http://schemas.openxmlformats.org/drawingml/2006/main">
                      <a:graphicData uri="http://schemas.microsoft.com/office/word/2010/wordprocessingShape">
                        <wps:wsp>
                          <wps:cNvSpPr txBox="1"/>
                          <wps:spPr>
                            <a:xfrm>
                              <a:off x="0" y="0"/>
                              <a:ext cx="5791200" cy="6210300"/>
                            </a:xfrm>
                            <a:prstGeom prst="rect">
                              <a:avLst/>
                            </a:prstGeom>
                            <a:noFill/>
                            <a:ln w="6350">
                              <a:noFill/>
                            </a:ln>
                            <a:effectLst/>
                          </wps:spPr>
                          <wps:txbx>
                            <w:txbxContent>
                              <w:p w:rsidR="00D01B67" w:rsidRPr="00492C1A" w:rsidRDefault="00CF65B8" w:rsidP="00492C1A">
                                <w:pPr>
                                  <w:pStyle w:val="Title"/>
                                  <w:spacing w:line="240" w:lineRule="auto"/>
                                  <w:contextualSpacing/>
                                  <w:rPr>
                                    <w:sz w:val="56"/>
                                    <w:szCs w:val="56"/>
                                  </w:rPr>
                                </w:pPr>
                                <w:sdt>
                                  <w:sdtPr>
                                    <w:rPr>
                                      <w:sz w:val="56"/>
                                      <w:szCs w:val="56"/>
                                    </w:rPr>
                                    <w:alias w:val="Title"/>
                                    <w:tag w:val=""/>
                                    <w:id w:val="-583996484"/>
                                    <w:dataBinding w:prefixMappings="xmlns:ns0='http://purl.org/dc/elements/1.1/' xmlns:ns1='http://schemas.openxmlformats.org/package/2006/metadata/core-properties' " w:xpath="/ns1:coreProperties[1]/ns0:title[1]" w:storeItemID="{6C3C8BC8-F283-45AE-878A-BAB7291924A1}"/>
                                    <w:text/>
                                  </w:sdtPr>
                                  <w:sdtEndPr/>
                                  <w:sdtContent>
                                    <w:r w:rsidR="00492C1A" w:rsidRPr="00492C1A">
                                      <w:rPr>
                                        <w:sz w:val="56"/>
                                        <w:szCs w:val="56"/>
                                      </w:rPr>
                                      <w:t>Valuation report on the acquisition of Starlight</w:t>
                                    </w:r>
                                  </w:sdtContent>
                                </w:sdt>
                              </w:p>
                              <w:p w:rsidR="00D01B67" w:rsidRDefault="00583F71">
                                <w:pPr>
                                  <w:pStyle w:val="Subtitle"/>
                                </w:pPr>
                                <w:r>
                                  <w:t xml:space="preserve">FY </w:t>
                                </w:r>
                                <w:sdt>
                                  <w:sdtPr>
                                    <w:alias w:val="Date"/>
                                    <w:id w:val="1417830956"/>
                                    <w:dataBinding w:prefixMappings="xmlns:ns0='http://schemas.microsoft.com/office/2006/coverPageProps' " w:xpath="/ns0:CoverPageProperties[1]/ns0:PublishDate[1]" w:storeItemID="{55AF091B-3C7A-41E3-B477-F2FDAA23CFDA}"/>
                                    <w:date w:fullDate="2014-01-01T00:00:00Z">
                                      <w:dateFormat w:val="yyyy"/>
                                      <w:lid w:val="en-US"/>
                                      <w:storeMappedDataAs w:val="dateTime"/>
                                      <w:calendar w:val="gregorian"/>
                                    </w:date>
                                  </w:sdtPr>
                                  <w:sdtEndPr/>
                                  <w:sdtContent>
                                    <w:r w:rsidR="00492C1A">
                                      <w:t>2014</w:t>
                                    </w:r>
                                  </w:sdtContent>
                                </w:sdt>
                              </w:p>
                              <w:sdt>
                                <w:sdtPr>
                                  <w:rPr>
                                    <w:szCs w:val="28"/>
                                  </w:rPr>
                                  <w:alias w:val="Abstract"/>
                                  <w:id w:val="106622669"/>
                                  <w:dataBinding w:prefixMappings="xmlns:ns0='http://schemas.microsoft.com/office/2006/coverPageProps'" w:xpath="/ns0:CoverPageProperties[1]/ns0:Abstract[1]" w:storeItemID="{55AF091B-3C7A-41E3-B477-F2FDAA23CFDA}"/>
                                  <w:text/>
                                </w:sdtPr>
                                <w:sdtEndPr/>
                                <w:sdtContent>
                                  <w:p w:rsidR="00D01B67" w:rsidRPr="00B973EF" w:rsidRDefault="00B973EF">
                                    <w:pPr>
                                      <w:pStyle w:val="Abstract"/>
                                      <w:rPr>
                                        <w:szCs w:val="28"/>
                                      </w:rPr>
                                    </w:pPr>
                                    <w:r w:rsidRPr="00B973EF">
                                      <w:rPr>
                                        <w:szCs w:val="28"/>
                                      </w:rPr>
                                      <w:t>Determining the value of the target (Starlight) and whether or not the purchase is possible through financing provided in part by Eastern Seaboard Bank.</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85000</wp14:pctHeight>
                    </wp14:sizeRelV>
                  </wp:anchor>
                </w:drawing>
              </mc:Choice>
              <mc:Fallback>
                <w:pict>
                  <v:shapetype w14:anchorId="57A2F31B" id="_x0000_t202" coordsize="21600,21600" o:spt="202" path="m,l,21600r21600,l21600,xe">
                    <v:stroke joinstyle="miter"/>
                    <v:path gradientshapeok="t" o:connecttype="rect"/>
                  </v:shapetype>
                  <v:shape id="Text Box 6" o:spid="_x0000_s1026" type="#_x0000_t202" alt="Title, Subtitle, and Abstract" style="position:absolute;margin-left:0;margin-top:0;width:456pt;height:489pt;z-index:251659264;visibility:visible;mso-wrap-style:square;mso-width-percent:1000;mso-height-percent:850;mso-left-percent:93;mso-wrap-distance-left:9pt;mso-wrap-distance-top:0;mso-wrap-distance-right:9pt;mso-wrap-distance-bottom:0;mso-position-horizontal-relative:page;mso-position-vertical:bottom;mso-position-vertical-relative:margin;mso-width-percent:1000;mso-height-percent:850;mso-left-percent:93;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" filled="f" stroked="f" strokeweight=".5pt">
                    <v:textbox inset="0,0,0,0">
                      <w:txbxContent>
                        <w:p w:rsidR="00D01B67" w:rsidRPr="00492C1A" w:rsidRDefault="00CF65B8" w:rsidP="00492C1A">
                          <w:pPr>
                            <w:pStyle w:val="Title"/>
                            <w:spacing w:line="240" w:lineRule="auto"/>
                            <w:contextualSpacing/>
                            <w:rPr>
                              <w:sz w:val="56"/>
                              <w:szCs w:val="56"/>
                            </w:rPr>
                          </w:pPr>
                          <w:sdt>
                            <w:sdtPr>
                              <w:rPr>
                                <w:sz w:val="56"/>
                                <w:szCs w:val="56"/>
                              </w:rPr>
                              <w:alias w:val="Title"/>
                              <w:tag w:val=""/>
                              <w:id w:val="-583996484"/>
                              <w:dataBinding w:prefixMappings="xmlns:ns0='http://purl.org/dc/elements/1.1/' xmlns:ns1='http://schemas.openxmlformats.org/package/2006/metadata/core-properties' " w:xpath="/ns1:coreProperties[1]/ns0:title[1]" w:storeItemID="{6C3C8BC8-F283-45AE-878A-BAB7291924A1}"/>
                              <w:text/>
                            </w:sdtPr>
                            <w:sdtEndPr/>
                            <w:sdtContent>
                              <w:r w:rsidR="00492C1A" w:rsidRPr="00492C1A">
                                <w:rPr>
                                  <w:sz w:val="56"/>
                                  <w:szCs w:val="56"/>
                                </w:rPr>
                                <w:t>Valuation report on the acquisition of Starlight</w:t>
                              </w:r>
                            </w:sdtContent>
                          </w:sdt>
                        </w:p>
                        <w:p w:rsidR="00D01B67" w:rsidRDefault="00583F71">
                          <w:pPr>
                            <w:pStyle w:val="Subtitle"/>
                          </w:pPr>
                          <w:r>
                            <w:t xml:space="preserve">FY </w:t>
                          </w:r>
                          <w:sdt>
                            <w:sdtPr>
                              <w:alias w:val="Date"/>
                              <w:id w:val="1417830956"/>
                              <w:dataBinding w:prefixMappings="xmlns:ns0='http://schemas.microsoft.com/office/2006/coverPageProps' " w:xpath="/ns0:CoverPageProperties[1]/ns0:PublishDate[1]" w:storeItemID="{55AF091B-3C7A-41E3-B477-F2FDAA23CFDA}"/>
                              <w:date w:fullDate="2014-01-01T00:00:00Z">
                                <w:dateFormat w:val="yyyy"/>
                                <w:lid w:val="en-US"/>
                                <w:storeMappedDataAs w:val="dateTime"/>
                                <w:calendar w:val="gregorian"/>
                              </w:date>
                            </w:sdtPr>
                            <w:sdtEndPr/>
                            <w:sdtContent>
                              <w:r w:rsidR="00492C1A">
                                <w:t>2014</w:t>
                              </w:r>
                            </w:sdtContent>
                          </w:sdt>
                        </w:p>
                        <w:sdt>
                          <w:sdtPr>
                            <w:rPr>
                              <w:szCs w:val="28"/>
                            </w:rPr>
                            <w:alias w:val="Abstract"/>
                            <w:id w:val="106622669"/>
                            <w:dataBinding w:prefixMappings="xmlns:ns0='http://schemas.microsoft.com/office/2006/coverPageProps'" w:xpath="/ns0:CoverPageProperties[1]/ns0:Abstract[1]" w:storeItemID="{55AF091B-3C7A-41E3-B477-F2FDAA23CFDA}"/>
                            <w:text/>
                          </w:sdtPr>
                          <w:sdtEndPr/>
                          <w:sdtContent>
                            <w:p w:rsidR="00D01B67" w:rsidRPr="00B973EF" w:rsidRDefault="00B973EF">
                              <w:pPr>
                                <w:pStyle w:val="Abstract"/>
                                <w:rPr>
                                  <w:szCs w:val="28"/>
                                </w:rPr>
                              </w:pPr>
                              <w:r w:rsidRPr="00B973EF">
                                <w:rPr>
                                  <w:szCs w:val="28"/>
                                </w:rPr>
                                <w:t>Determining the value of the target (Starlight) and whether or not the purchase is possible through financing provided in part by Eastern Seaboard Bank.</w:t>
                              </w:r>
                            </w:p>
                          </w:sdtContent>
                        </w:sdt>
                      </w:txbxContent>
                    </v:textbox>
                    <w10:wrap type="topAndBottom" anchorx="page" anchory="margin"/>
                  </v:shape>
                </w:pict>
              </mc:Fallback>
            </mc:AlternateContent>
          </w:r>
          <w:r>
            <w:rPr>
              <w:rFonts w:asciiTheme="majorHAnsi" w:eastAsiaTheme="majorEastAsia" w:hAnsiTheme="majorHAnsi" w:cstheme="majorBidi"/>
              <w:noProof/>
              <w:sz w:val="76"/>
              <w:szCs w:val="72"/>
              <w:lang w:eastAsia="en-US"/>
            </w:rPr>
            <mc:AlternateContent>
              <mc:Choice Requires="wps">
                <w:drawing>
                  <wp:anchor distT="0" distB="0" distL="114300" distR="114300" simplePos="0" relativeHeight="251660288" behindDoc="0" locked="0" layoutInCell="0" allowOverlap="0" wp14:anchorId="4D89A090" wp14:editId="33E18ADB">
                    <wp:simplePos x="0" y="0"/>
                    <mc:AlternateContent>
                      <mc:Choice Requires="wp14">
                        <wp:positionH relativeFrom="page">
                          <wp14:pctPosHOffset>9300</wp14:pctPosHOffset>
                        </wp:positionH>
                      </mc:Choice>
                      <mc:Fallback>
                        <wp:positionH relativeFrom="page">
                          <wp:posOffset>722630</wp:posOffset>
                        </wp:positionH>
                      </mc:Fallback>
                    </mc:AlternateContent>
                    <mc:AlternateContent>
                      <mc:Choice Requires="wp14">
                        <wp:positionV relativeFrom="page">
                          <wp14:pctPosVOffset>5500</wp14:pctPosVOffset>
                        </wp:positionV>
                      </mc:Choice>
                      <mc:Fallback>
                        <wp:positionV relativeFrom="page">
                          <wp:posOffset>553085</wp:posOffset>
                        </wp:positionV>
                      </mc:Fallback>
                    </mc:AlternateContent>
                    <wp:extent cx="6248400" cy="1285875"/>
                    <wp:effectExtent l="0" t="0" r="0" b="5715"/>
                    <wp:wrapTopAndBottom/>
                    <wp:docPr id="3" name="Text Box 3" descr="Company contact information"/>
                    <wp:cNvGraphicFramePr/>
                    <a:graphic xmlns:a="http://schemas.openxmlformats.org/drawingml/2006/main">
                      <a:graphicData uri="http://schemas.microsoft.com/office/word/2010/wordprocessingShape">
                        <wps:wsp>
                          <wps:cNvSpPr txBox="1"/>
                          <wps:spPr>
                            <a:xfrm>
                              <a:off x="0" y="0"/>
                              <a:ext cx="62484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1B67" w:rsidRPr="00492C1A" w:rsidRDefault="00CF65B8">
                                <w:pPr>
                                  <w:pStyle w:val="NoSpacing"/>
                                  <w:rPr>
                                    <w:kern w:val="20"/>
                                    <w:sz w:val="28"/>
                                    <w:szCs w:val="28"/>
                                  </w:rPr>
                                </w:pPr>
                                <w:sdt>
                                  <w:sdtPr>
                                    <w:rPr>
                                      <w:kern w:val="20"/>
                                      <w:sz w:val="28"/>
                                      <w:szCs w:val="28"/>
                                    </w:rPr>
                                    <w:alias w:val="Company"/>
                                    <w:tag w:val=""/>
                                    <w:id w:val="-1516756383"/>
                                    <w:dataBinding w:prefixMappings="xmlns:ns0='http://schemas.openxmlformats.org/officeDocument/2006/extended-properties' " w:xpath="/ns0:Properties[1]/ns0:Company[1]" w:storeItemID="{6668398D-A668-4E3E-A5EB-62B293D839F1}"/>
                                    <w:text/>
                                  </w:sdtPr>
                                  <w:sdtEndPr/>
                                  <w:sdtContent>
                                    <w:r w:rsidR="00492C1A" w:rsidRPr="00492C1A">
                                      <w:rPr>
                                        <w:kern w:val="20"/>
                                        <w:sz w:val="28"/>
                                        <w:szCs w:val="28"/>
                                      </w:rPr>
                                      <w:t>Abigail Medina</w:t>
                                    </w:r>
                                  </w:sdtContent>
                                </w:sdt>
                              </w:p>
                              <w:p w:rsidR="00D01B67" w:rsidRPr="00492C1A" w:rsidRDefault="00CF65B8">
                                <w:pPr>
                                  <w:pStyle w:val="NoSpacing"/>
                                  <w:rPr>
                                    <w:sz w:val="28"/>
                                    <w:szCs w:val="28"/>
                                  </w:rPr>
                                </w:pPr>
                                <w:sdt>
                                  <w:sdtPr>
                                    <w:rPr>
                                      <w:sz w:val="28"/>
                                      <w:szCs w:val="28"/>
                                    </w:rPr>
                                    <w:alias w:val="Street Address"/>
                                    <w:tag w:val="Street Address"/>
                                    <w:id w:val="985824367"/>
                                    <w:dataBinding w:prefixMappings="xmlns:ns0='http://schemas.microsoft.com/office/2006/coverPageProps' " w:xpath="/ns0:CoverPageProperties[1]/ns0:CompanyAddress[1]" w:storeItemID="{55AF091B-3C7A-41E3-B477-F2FDAA23CFDA}"/>
                                    <w:text w:multiLine="1"/>
                                  </w:sdtPr>
                                  <w:sdtEndPr/>
                                  <w:sdtContent>
                                    <w:r w:rsidR="00492C1A" w:rsidRPr="00492C1A">
                                      <w:rPr>
                                        <w:sz w:val="28"/>
                                        <w:szCs w:val="28"/>
                                      </w:rPr>
                                      <w:t>kyi439</w:t>
                                    </w:r>
                                  </w:sdtContent>
                                </w:sdt>
                              </w:p>
                              <w:p w:rsidR="00D01B67" w:rsidRPr="00492C1A" w:rsidRDefault="00492C1A" w:rsidP="00492C1A">
                                <w:pPr>
                                  <w:pStyle w:val="NoSpacing"/>
                                  <w:rPr>
                                    <w:sz w:val="28"/>
                                    <w:szCs w:val="28"/>
                                  </w:rPr>
                                </w:pPr>
                                <w:r w:rsidRPr="00492C1A">
                                  <w:rPr>
                                    <w:rStyle w:val="Strong"/>
                                    <w:b w:val="0"/>
                                    <w:sz w:val="28"/>
                                    <w:szCs w:val="28"/>
                                  </w:rPr>
                                  <w:t>@01307273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80400</wp14:pctWidth>
                    </wp14:sizeRelH>
                    <wp14:sizeRelV relativeFrom="page">
                      <wp14:pctHeight>15000</wp14:pctHeight>
                    </wp14:sizeRelV>
                  </wp:anchor>
                </w:drawing>
              </mc:Choice>
              <mc:Fallback>
                <w:pict>
                  <v:shape w14:anchorId="4D89A090" id="Text Box 3" o:spid="_x0000_s1027" type="#_x0000_t202" alt="Company contact information" style="position:absolute;margin-left:0;margin-top:0;width:492pt;height:101.25pt;z-index:251660288;visibility:visible;mso-wrap-style:square;mso-width-percent:804;mso-height-percent:150;mso-left-percent:93;mso-top-percent:55;mso-wrap-distance-left:9pt;mso-wrap-distance-top:0;mso-wrap-distance-right:9pt;mso-wrap-distance-bottom:0;mso-position-horizontal-relative:page;mso-position-vertical-relative:page;mso-width-percent:804;mso-height-percent:150;mso-left-percent:93;mso-top-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" o:allowincell="f" o:allowoverlap="f" filled="f" stroked="f" strokeweight=".5pt">
                    <v:textbox style="mso-fit-shape-to-text:t" inset="0,0,0,0">
                      <w:txbxContent>
                        <w:p w:rsidR="00D01B67" w:rsidRPr="00492C1A" w:rsidRDefault="00CF65B8">
                          <w:pPr>
                            <w:pStyle w:val="NoSpacing"/>
                            <w:rPr>
                              <w:kern w:val="20"/>
                              <w:sz w:val="28"/>
                              <w:szCs w:val="28"/>
                            </w:rPr>
                          </w:pPr>
                          <w:sdt>
                            <w:sdtPr>
                              <w:rPr>
                                <w:kern w:val="20"/>
                                <w:sz w:val="28"/>
                                <w:szCs w:val="28"/>
                              </w:rPr>
                              <w:alias w:val="Company"/>
                              <w:tag w:val=""/>
                              <w:id w:val="-1516756383"/>
                              <w:dataBinding w:prefixMappings="xmlns:ns0='http://schemas.openxmlformats.org/officeDocument/2006/extended-properties' " w:xpath="/ns0:Properties[1]/ns0:Company[1]" w:storeItemID="{6668398D-A668-4E3E-A5EB-62B293D839F1}"/>
                              <w:text/>
                            </w:sdtPr>
                            <w:sdtEndPr/>
                            <w:sdtContent>
                              <w:r w:rsidR="00492C1A" w:rsidRPr="00492C1A">
                                <w:rPr>
                                  <w:kern w:val="20"/>
                                  <w:sz w:val="28"/>
                                  <w:szCs w:val="28"/>
                                </w:rPr>
                                <w:t>Abigail Medina</w:t>
                              </w:r>
                            </w:sdtContent>
                          </w:sdt>
                        </w:p>
                        <w:p w:rsidR="00D01B67" w:rsidRPr="00492C1A" w:rsidRDefault="00CF65B8">
                          <w:pPr>
                            <w:pStyle w:val="NoSpacing"/>
                            <w:rPr>
                              <w:sz w:val="28"/>
                              <w:szCs w:val="28"/>
                            </w:rPr>
                          </w:pPr>
                          <w:sdt>
                            <w:sdtPr>
                              <w:rPr>
                                <w:sz w:val="28"/>
                                <w:szCs w:val="28"/>
                              </w:rPr>
                              <w:alias w:val="Street Address"/>
                              <w:tag w:val="Street Address"/>
                              <w:id w:val="985824367"/>
                              <w:dataBinding w:prefixMappings="xmlns:ns0='http://schemas.microsoft.com/office/2006/coverPageProps' " w:xpath="/ns0:CoverPageProperties[1]/ns0:CompanyAddress[1]" w:storeItemID="{55AF091B-3C7A-41E3-B477-F2FDAA23CFDA}"/>
                              <w:text w:multiLine="1"/>
                            </w:sdtPr>
                            <w:sdtEndPr/>
                            <w:sdtContent>
                              <w:r w:rsidR="00492C1A" w:rsidRPr="00492C1A">
                                <w:rPr>
                                  <w:sz w:val="28"/>
                                  <w:szCs w:val="28"/>
                                </w:rPr>
                                <w:t>kyi439</w:t>
                              </w:r>
                            </w:sdtContent>
                          </w:sdt>
                        </w:p>
                        <w:p w:rsidR="00D01B67" w:rsidRPr="00492C1A" w:rsidRDefault="00492C1A" w:rsidP="00492C1A">
                          <w:pPr>
                            <w:pStyle w:val="NoSpacing"/>
                            <w:rPr>
                              <w:sz w:val="28"/>
                              <w:szCs w:val="28"/>
                            </w:rPr>
                          </w:pPr>
                          <w:r w:rsidRPr="00492C1A">
                            <w:rPr>
                              <w:rStyle w:val="Strong"/>
                              <w:b w:val="0"/>
                              <w:sz w:val="28"/>
                              <w:szCs w:val="28"/>
                            </w:rPr>
                            <w:t>@01307273</w:t>
                          </w:r>
                        </w:p>
                      </w:txbxContent>
                    </v:textbox>
                    <w10:wrap type="topAndBottom" anchorx="page" anchory="page"/>
                  </v:shape>
                </w:pict>
              </mc:Fallback>
            </mc:AlternateContent>
          </w:r>
          <w:r>
            <w:rPr>
              <w:noProof/>
            </w:rPr>
            <w:br w:type="page"/>
          </w:r>
        </w:p>
      </w:sdtContent>
    </w:sdt>
    <w:sdt>
      <w:sdtPr>
        <w:rPr>
          <w:sz w:val="20"/>
        </w:rPr>
        <w:id w:val="1866023298"/>
        <w:docPartObj>
          <w:docPartGallery w:val="Table of Contents"/>
          <w:docPartUnique/>
        </w:docPartObj>
      </w:sdtPr>
      <w:sdtEndPr>
        <w:rPr>
          <w:b/>
          <w:bCs/>
          <w:noProof/>
        </w:rPr>
      </w:sdtEndPr>
      <w:sdtContent>
        <w:p w:rsidR="00D01B67" w:rsidRDefault="00583F71">
          <w:pPr>
            <w:pStyle w:val="TOCHeading"/>
          </w:pPr>
          <w:r>
            <w:t>Contents</w:t>
          </w:r>
        </w:p>
        <w:p w:rsidR="00D01B67" w:rsidRDefault="00583F71" w:rsidP="00653E9B">
          <w:pPr>
            <w:pStyle w:val="TOC1"/>
            <w:rPr>
              <w:color w:val="auto"/>
              <w:kern w:val="0"/>
              <w:szCs w:val="22"/>
            </w:rPr>
          </w:pPr>
          <w:r>
            <w:fldChar w:fldCharType="begin"/>
          </w:r>
          <w:r>
            <w:instrText xml:space="preserve"> TOC \o "1-1" \h \z \u </w:instrText>
          </w:r>
          <w:r>
            <w:fldChar w:fldCharType="separate"/>
          </w:r>
          <w:hyperlink w:anchor="_Toc325634774" w:history="1">
            <w:r w:rsidR="00C91F57">
              <w:rPr>
                <w:rStyle w:val="Hyperlink"/>
              </w:rPr>
              <w:t>Background</w:t>
            </w:r>
            <w:r w:rsidR="00572136">
              <w:rPr>
                <w:rStyle w:val="Hyperlink"/>
              </w:rPr>
              <w:t>/</w:t>
            </w:r>
            <w:r w:rsidR="00C91F57">
              <w:rPr>
                <w:rStyle w:val="Hyperlink"/>
              </w:rPr>
              <w:t>Purpose</w:t>
            </w:r>
            <w:r w:rsidR="00653E9B">
              <w:rPr>
                <w:webHidden/>
              </w:rPr>
              <w:t>_____________________________________________________________________________________</w:t>
            </w:r>
            <w:r w:rsidR="002C50B2">
              <w:rPr>
                <w:webHidden/>
              </w:rPr>
              <w:t>1</w:t>
            </w:r>
          </w:hyperlink>
        </w:p>
        <w:p w:rsidR="00D01B67" w:rsidRDefault="00CF65B8" w:rsidP="00653E9B">
          <w:pPr>
            <w:pStyle w:val="TOC1"/>
            <w:rPr>
              <w:color w:val="auto"/>
              <w:kern w:val="0"/>
              <w:szCs w:val="22"/>
            </w:rPr>
          </w:pPr>
          <w:hyperlink w:anchor="_Toc325634775" w:history="1">
            <w:r w:rsidR="00572136">
              <w:rPr>
                <w:rStyle w:val="Hyperlink"/>
              </w:rPr>
              <w:t>Analysis</w:t>
            </w:r>
            <w:r w:rsidR="00653E9B">
              <w:rPr>
                <w:rStyle w:val="Hyperlink"/>
              </w:rPr>
              <w:softHyphen/>
            </w:r>
            <w:r w:rsidR="00653E9B">
              <w:rPr>
                <w:rStyle w:val="Hyperlink"/>
              </w:rPr>
              <w:softHyphen/>
              <w:t>__________________________________________________________________________________________________</w:t>
            </w:r>
            <w:r w:rsidR="00572136">
              <w:rPr>
                <w:webHidden/>
              </w:rPr>
              <w:t>2</w:t>
            </w:r>
          </w:hyperlink>
          <w:r w:rsidR="00653E9B">
            <w:t>-4</w:t>
          </w:r>
        </w:p>
        <w:p w:rsidR="00D01B67" w:rsidRDefault="00CF65B8" w:rsidP="00653E9B">
          <w:pPr>
            <w:pStyle w:val="TOC1"/>
            <w:rPr>
              <w:color w:val="auto"/>
              <w:kern w:val="0"/>
              <w:szCs w:val="22"/>
            </w:rPr>
          </w:pPr>
          <w:hyperlink w:anchor="_Toc325634776" w:history="1">
            <w:r w:rsidR="00572136">
              <w:rPr>
                <w:rStyle w:val="Hyperlink"/>
              </w:rPr>
              <w:t>Conclusions/Recommendations</w:t>
            </w:r>
            <w:r w:rsidR="00653E9B">
              <w:rPr>
                <w:rStyle w:val="Hyperlink"/>
              </w:rPr>
              <w:t>_________________________________________________________________________</w:t>
            </w:r>
            <w:r w:rsidR="00653E9B">
              <w:rPr>
                <w:webHidden/>
              </w:rPr>
              <w:t>5</w:t>
            </w:r>
          </w:hyperlink>
        </w:p>
        <w:p w:rsidR="00D01B67" w:rsidRDefault="00B2766E" w:rsidP="00653E9B">
          <w:pPr>
            <w:pStyle w:val="TOC1"/>
            <w:rPr>
              <w:color w:val="auto"/>
              <w:kern w:val="0"/>
              <w:szCs w:val="22"/>
            </w:rPr>
          </w:pPr>
          <w:r>
            <w:t>Tables/Exhibits __________________</w:t>
          </w:r>
          <w:r w:rsidR="006D27BA">
            <w:t>______</w:t>
          </w:r>
          <w:r>
            <w:t>_______________________________</w:t>
          </w:r>
          <w:r w:rsidR="006D27BA">
            <w:t>_________</w:t>
          </w:r>
          <w:r>
            <w:t>_______________________6-19</w:t>
          </w:r>
        </w:p>
        <w:p w:rsidR="00D01B67" w:rsidRPr="002C50B2" w:rsidRDefault="00583F71" w:rsidP="002C50B2">
          <w:pPr>
            <w:jc w:val="both"/>
            <w:rPr>
              <w:b/>
              <w:bCs/>
              <w:noProof/>
            </w:rPr>
            <w:sectPr w:rsidR="00D01B67" w:rsidRPr="002C50B2">
              <w:headerReference w:type="default" r:id="rId11"/>
              <w:pgSz w:w="12240" w:h="15840" w:code="1"/>
              <w:pgMar w:top="2520" w:right="1555" w:bottom="1800" w:left="1555" w:header="864" w:footer="720" w:gutter="0"/>
              <w:pgNumType w:start="0"/>
              <w:cols w:space="720"/>
              <w:titlePg/>
              <w:docGrid w:linePitch="360"/>
            </w:sectPr>
          </w:pPr>
          <w:r>
            <w:fldChar w:fldCharType="end"/>
          </w:r>
        </w:p>
      </w:sdtContent>
    </w:sdt>
    <w:p w:rsidR="00D01B67" w:rsidRDefault="00572136" w:rsidP="00360A7F">
      <w:pPr>
        <w:pStyle w:val="Heading1"/>
        <w:ind w:left="0"/>
      </w:pPr>
      <w:r>
        <w:lastRenderedPageBreak/>
        <w:t>Background</w:t>
      </w:r>
      <w:r w:rsidR="00C91F57">
        <w:t>/Purpose</w:t>
      </w:r>
    </w:p>
    <w:p w:rsidR="00D01B67" w:rsidRDefault="00C91F57" w:rsidP="00144716">
      <w:pPr>
        <w:pStyle w:val="Heading2"/>
        <w:ind w:left="360"/>
        <w:contextualSpacing/>
      </w:pPr>
      <w:r>
        <w:t>background</w:t>
      </w:r>
    </w:p>
    <w:p w:rsidR="00C91F57" w:rsidRPr="00360A7F" w:rsidRDefault="00AC4861" w:rsidP="000C4902">
      <w:pPr>
        <w:spacing w:line="240" w:lineRule="auto"/>
        <w:ind w:left="360" w:firstLine="720"/>
        <w:contextualSpacing/>
        <w:jc w:val="both"/>
        <w:rPr>
          <w:sz w:val="24"/>
          <w:szCs w:val="24"/>
        </w:rPr>
      </w:pPr>
      <w:r w:rsidRPr="00360A7F">
        <w:rPr>
          <w:sz w:val="24"/>
          <w:szCs w:val="24"/>
        </w:rPr>
        <w:t xml:space="preserve">Collectibles Inc. is a producer of consumer goods that current makes products such as dolls and jewelry. Their products are produced in China and sold in numerous small shops as well as on the Television Shopping Network (TSN). Although Collectibles is currently operating at a profit, they have recently </w:t>
      </w:r>
      <w:r w:rsidR="00C91F57" w:rsidRPr="00360A7F">
        <w:rPr>
          <w:sz w:val="24"/>
          <w:szCs w:val="24"/>
        </w:rPr>
        <w:t>become</w:t>
      </w:r>
      <w:r w:rsidRPr="00360A7F">
        <w:rPr>
          <w:sz w:val="24"/>
          <w:szCs w:val="24"/>
        </w:rPr>
        <w:t xml:space="preserve"> interested in acquiring the assets of Starlight Jewelry Manufacturing Inc. (thus resulting in a merger of the two companies). </w:t>
      </w:r>
    </w:p>
    <w:p w:rsidR="00D01B67" w:rsidRDefault="00AC4861" w:rsidP="000C4902">
      <w:pPr>
        <w:spacing w:line="240" w:lineRule="auto"/>
        <w:ind w:left="360" w:firstLine="720"/>
        <w:contextualSpacing/>
        <w:jc w:val="both"/>
        <w:rPr>
          <w:sz w:val="24"/>
          <w:szCs w:val="24"/>
        </w:rPr>
      </w:pPr>
      <w:r w:rsidRPr="00360A7F">
        <w:rPr>
          <w:sz w:val="24"/>
          <w:szCs w:val="24"/>
        </w:rPr>
        <w:t xml:space="preserve">Starlight </w:t>
      </w:r>
      <w:r w:rsidR="00C91F57" w:rsidRPr="00360A7F">
        <w:rPr>
          <w:sz w:val="24"/>
          <w:szCs w:val="24"/>
        </w:rPr>
        <w:t>is a company that currently manufactures and sells low-end jewelry in the United States.</w:t>
      </w:r>
      <w:r w:rsidRPr="00360A7F">
        <w:rPr>
          <w:sz w:val="24"/>
          <w:szCs w:val="24"/>
        </w:rPr>
        <w:t xml:space="preserve"> Through this merger, both companies would achieve numerous operating efficiencies including reductions in cost of goods sold of 1% and $600,000 in salary savings. In addition to these synergies, Collectibles also expects the acquisition to </w:t>
      </w:r>
      <w:r w:rsidR="00C91F57" w:rsidRPr="00360A7F">
        <w:rPr>
          <w:sz w:val="24"/>
          <w:szCs w:val="24"/>
        </w:rPr>
        <w:t xml:space="preserve">complement the higher-priced custom jewelry it currently sells (thus appealing to the buying habits of its </w:t>
      </w:r>
      <w:r w:rsidR="00360A7F">
        <w:rPr>
          <w:sz w:val="24"/>
          <w:szCs w:val="24"/>
        </w:rPr>
        <w:t xml:space="preserve">existing </w:t>
      </w:r>
      <w:r w:rsidR="00C91F57" w:rsidRPr="00360A7F">
        <w:rPr>
          <w:sz w:val="24"/>
          <w:szCs w:val="24"/>
        </w:rPr>
        <w:t xml:space="preserve">customers) and to eliminate capital expenditures in the foreseeable future. </w:t>
      </w:r>
    </w:p>
    <w:p w:rsidR="00C91F57" w:rsidRPr="00B973EF" w:rsidRDefault="00747630" w:rsidP="000C4902">
      <w:pPr>
        <w:spacing w:line="240" w:lineRule="auto"/>
        <w:ind w:left="360" w:firstLine="360"/>
        <w:contextualSpacing/>
        <w:jc w:val="both"/>
        <w:rPr>
          <w:sz w:val="24"/>
          <w:szCs w:val="24"/>
        </w:rPr>
      </w:pPr>
      <w:r>
        <w:rPr>
          <w:sz w:val="24"/>
          <w:szCs w:val="24"/>
        </w:rPr>
        <w:t>If the merger is</w:t>
      </w:r>
      <w:r w:rsidR="00D460A1">
        <w:rPr>
          <w:sz w:val="24"/>
          <w:szCs w:val="24"/>
        </w:rPr>
        <w:t xml:space="preserve"> approved, the acquisition will be paid for through a loan (accounting for 60% of the acquisition price) and additional equity from venture capitalists (accounting for the remaining 40%). </w:t>
      </w:r>
      <w:r w:rsidR="006D27BA">
        <w:rPr>
          <w:sz w:val="24"/>
          <w:szCs w:val="24"/>
        </w:rPr>
        <w:t xml:space="preserve">In addition to this, the accounts payable of the target would be assumed. </w:t>
      </w:r>
      <w:r w:rsidR="00D460A1">
        <w:rPr>
          <w:sz w:val="24"/>
          <w:szCs w:val="24"/>
        </w:rPr>
        <w:t xml:space="preserve">However, in order for the purchase to be viable, Collectibles Inc. (which would now include Starlight Inc.) would have to maintain a Quick Ratio of at least 1.25 and a Debt Service Coverage Ratio of at least 1.75 to satisfy </w:t>
      </w:r>
      <w:r w:rsidR="00B973EF">
        <w:rPr>
          <w:sz w:val="24"/>
          <w:szCs w:val="24"/>
        </w:rPr>
        <w:t xml:space="preserve">Eastern Seaboard </w:t>
      </w:r>
      <w:r w:rsidR="00825B7C">
        <w:rPr>
          <w:sz w:val="24"/>
          <w:szCs w:val="24"/>
        </w:rPr>
        <w:t>Bank’s</w:t>
      </w:r>
      <w:r w:rsidR="00D460A1">
        <w:rPr>
          <w:sz w:val="24"/>
          <w:szCs w:val="24"/>
        </w:rPr>
        <w:t xml:space="preserve"> loan requirements.</w:t>
      </w:r>
    </w:p>
    <w:p w:rsidR="00D01B67" w:rsidRDefault="00C91F57" w:rsidP="000C4902">
      <w:pPr>
        <w:pStyle w:val="Heading2"/>
        <w:ind w:left="360"/>
        <w:contextualSpacing/>
      </w:pPr>
      <w:r>
        <w:t>Purpose</w:t>
      </w:r>
    </w:p>
    <w:p w:rsidR="00D01B67" w:rsidRPr="006D27BA" w:rsidRDefault="00360A7F" w:rsidP="000C4902">
      <w:pPr>
        <w:spacing w:line="240" w:lineRule="auto"/>
        <w:ind w:left="360" w:firstLine="720"/>
        <w:contextualSpacing/>
        <w:jc w:val="both"/>
        <w:rPr>
          <w:sz w:val="24"/>
          <w:szCs w:val="24"/>
        </w:rPr>
      </w:pPr>
      <w:r w:rsidRPr="00360A7F">
        <w:rPr>
          <w:sz w:val="24"/>
          <w:szCs w:val="24"/>
        </w:rPr>
        <w:t>The nature of this report is to communicate what the value of the company is calculated to be, whether or not this purchase is feasible, and if it is, what the financing structure would look like. In the analysis section, the assumptions made are pres</w:t>
      </w:r>
      <w:r w:rsidR="00D460A1">
        <w:rPr>
          <w:sz w:val="24"/>
          <w:szCs w:val="24"/>
        </w:rPr>
        <w:t xml:space="preserve">ented as well as what </w:t>
      </w:r>
      <w:r w:rsidRPr="00360A7F">
        <w:rPr>
          <w:sz w:val="24"/>
          <w:szCs w:val="24"/>
        </w:rPr>
        <w:t>financial statements are expected to look li</w:t>
      </w:r>
      <w:r>
        <w:rPr>
          <w:sz w:val="24"/>
          <w:szCs w:val="24"/>
        </w:rPr>
        <w:t>ke post-acquisition. The report</w:t>
      </w:r>
      <w:r w:rsidRPr="00360A7F">
        <w:rPr>
          <w:sz w:val="24"/>
          <w:szCs w:val="24"/>
        </w:rPr>
        <w:t xml:space="preserve"> then concludes with a recommendation on whether or not merging with Starlight (i.e. the target) is in Collectibles’ (i.e. the buyer) best financial interest. </w:t>
      </w:r>
    </w:p>
    <w:p w:rsidR="00D01B67" w:rsidRDefault="00FF238C" w:rsidP="00360A7F">
      <w:pPr>
        <w:pStyle w:val="Heading1"/>
        <w:ind w:left="0"/>
      </w:pPr>
      <w:r>
        <w:lastRenderedPageBreak/>
        <w:t>Analysis</w:t>
      </w:r>
    </w:p>
    <w:p w:rsidR="00747630" w:rsidRPr="003B4B52" w:rsidRDefault="00747630" w:rsidP="000C4902">
      <w:pPr>
        <w:pStyle w:val="Heading2"/>
        <w:ind w:left="360"/>
        <w:contextualSpacing/>
        <w:jc w:val="both"/>
        <w:rPr>
          <w:rFonts w:asciiTheme="minorHAnsi" w:eastAsiaTheme="minorEastAsia" w:hAnsiTheme="minorHAnsi" w:cstheme="minorBidi"/>
          <w:szCs w:val="24"/>
        </w:rPr>
      </w:pPr>
      <w:r w:rsidRPr="003B4B52">
        <w:rPr>
          <w:szCs w:val="24"/>
        </w:rPr>
        <w:t>General Assumptions Made</w:t>
      </w:r>
    </w:p>
    <w:p w:rsidR="00747630" w:rsidRPr="003B4B52" w:rsidRDefault="00747630" w:rsidP="000C4902">
      <w:pPr>
        <w:pStyle w:val="ListBullet"/>
        <w:numPr>
          <w:ilvl w:val="0"/>
          <w:numId w:val="0"/>
        </w:numPr>
        <w:spacing w:line="240" w:lineRule="auto"/>
        <w:ind w:left="360" w:hanging="360"/>
        <w:contextualSpacing/>
        <w:jc w:val="both"/>
        <w:rPr>
          <w:sz w:val="24"/>
          <w:szCs w:val="24"/>
        </w:rPr>
      </w:pPr>
      <w:r w:rsidRPr="003B4B52">
        <w:rPr>
          <w:sz w:val="24"/>
          <w:szCs w:val="24"/>
        </w:rPr>
        <w:tab/>
        <w:t>In determining the value of the target the following basic assumptions were made:</w:t>
      </w:r>
    </w:p>
    <w:p w:rsidR="00747630" w:rsidRDefault="005A48E0" w:rsidP="000C4902">
      <w:pPr>
        <w:pStyle w:val="ListBullet"/>
        <w:numPr>
          <w:ilvl w:val="0"/>
          <w:numId w:val="12"/>
        </w:numPr>
        <w:spacing w:line="240" w:lineRule="auto"/>
        <w:ind w:left="720"/>
        <w:contextualSpacing/>
        <w:jc w:val="both"/>
        <w:rPr>
          <w:sz w:val="24"/>
          <w:szCs w:val="24"/>
        </w:rPr>
      </w:pPr>
      <w:r w:rsidRPr="003B4B52">
        <w:rPr>
          <w:sz w:val="24"/>
          <w:szCs w:val="24"/>
        </w:rPr>
        <w:t>Only the assets of Starlight Inc. will be assumed (excluding cash).</w:t>
      </w:r>
    </w:p>
    <w:p w:rsidR="00CA1B69" w:rsidRPr="003B4B52" w:rsidRDefault="00CA1B69" w:rsidP="000C4902">
      <w:pPr>
        <w:pStyle w:val="ListBullet"/>
        <w:numPr>
          <w:ilvl w:val="0"/>
          <w:numId w:val="12"/>
        </w:numPr>
        <w:spacing w:line="240" w:lineRule="auto"/>
        <w:ind w:left="720"/>
        <w:contextualSpacing/>
        <w:jc w:val="both"/>
        <w:rPr>
          <w:sz w:val="24"/>
          <w:szCs w:val="24"/>
        </w:rPr>
      </w:pPr>
      <w:r>
        <w:rPr>
          <w:sz w:val="24"/>
          <w:szCs w:val="24"/>
        </w:rPr>
        <w:t>The accounts payable of the target will be assumed.</w:t>
      </w:r>
    </w:p>
    <w:p w:rsidR="00747630" w:rsidRPr="003B4B52" w:rsidRDefault="005A48E0" w:rsidP="000C4902">
      <w:pPr>
        <w:pStyle w:val="ListBullet"/>
        <w:spacing w:line="240" w:lineRule="auto"/>
        <w:ind w:left="720"/>
        <w:contextualSpacing/>
        <w:jc w:val="both"/>
        <w:rPr>
          <w:sz w:val="24"/>
          <w:szCs w:val="24"/>
        </w:rPr>
      </w:pPr>
      <w:r w:rsidRPr="003B4B52">
        <w:rPr>
          <w:sz w:val="24"/>
          <w:szCs w:val="24"/>
        </w:rPr>
        <w:t>The purchase will be financed through 60% debt and 40% equity.</w:t>
      </w:r>
    </w:p>
    <w:p w:rsidR="00747630" w:rsidRPr="003B4B52" w:rsidRDefault="00E12EE7" w:rsidP="000C4902">
      <w:pPr>
        <w:pStyle w:val="ListBullet"/>
        <w:spacing w:line="240" w:lineRule="auto"/>
        <w:ind w:left="720"/>
        <w:contextualSpacing/>
        <w:jc w:val="both"/>
        <w:rPr>
          <w:sz w:val="24"/>
          <w:szCs w:val="24"/>
        </w:rPr>
      </w:pPr>
      <w:r w:rsidRPr="003B4B52">
        <w:rPr>
          <w:sz w:val="24"/>
          <w:szCs w:val="24"/>
        </w:rPr>
        <w:t>Pro forma financial statement</w:t>
      </w:r>
      <w:r w:rsidR="005A48E0" w:rsidRPr="003B4B52">
        <w:rPr>
          <w:sz w:val="24"/>
          <w:szCs w:val="24"/>
        </w:rPr>
        <w:t xml:space="preserve"> numbers will be calculated </w:t>
      </w:r>
      <w:r w:rsidRPr="003B4B52">
        <w:rPr>
          <w:sz w:val="24"/>
          <w:szCs w:val="24"/>
        </w:rPr>
        <w:t>based on historical data using the</w:t>
      </w:r>
      <w:r w:rsidR="005A48E0" w:rsidRPr="003B4B52">
        <w:rPr>
          <w:sz w:val="24"/>
          <w:szCs w:val="24"/>
        </w:rPr>
        <w:t xml:space="preserve"> percentage of sales</w:t>
      </w:r>
      <w:r w:rsidRPr="003B4B52">
        <w:rPr>
          <w:sz w:val="24"/>
          <w:szCs w:val="24"/>
        </w:rPr>
        <w:t xml:space="preserve"> approach</w:t>
      </w:r>
      <w:r w:rsidR="005A48E0" w:rsidRPr="003B4B52">
        <w:rPr>
          <w:sz w:val="24"/>
          <w:szCs w:val="24"/>
        </w:rPr>
        <w:t xml:space="preserve"> (e.g. cost of goods sold will be forecasted using t</w:t>
      </w:r>
      <w:r w:rsidR="00D830B1">
        <w:rPr>
          <w:sz w:val="24"/>
          <w:szCs w:val="24"/>
        </w:rPr>
        <w:t xml:space="preserve">he average percent of COGS </w:t>
      </w:r>
      <w:r w:rsidRPr="003B4B52">
        <w:rPr>
          <w:sz w:val="24"/>
          <w:szCs w:val="24"/>
        </w:rPr>
        <w:t>from 2011 to 2014</w:t>
      </w:r>
      <w:r w:rsidR="00D830B1">
        <w:rPr>
          <w:sz w:val="24"/>
          <w:szCs w:val="24"/>
        </w:rPr>
        <w:t xml:space="preserve"> over total sales for the year projected</w:t>
      </w:r>
      <w:r w:rsidRPr="003B4B52">
        <w:rPr>
          <w:sz w:val="24"/>
          <w:szCs w:val="24"/>
        </w:rPr>
        <w:t>), unless otherwise noted below.</w:t>
      </w:r>
    </w:p>
    <w:p w:rsidR="00E54549" w:rsidRPr="003B4B52" w:rsidRDefault="00E54549" w:rsidP="000C4902">
      <w:pPr>
        <w:pStyle w:val="ListBullet"/>
        <w:spacing w:line="240" w:lineRule="auto"/>
        <w:ind w:left="720"/>
        <w:contextualSpacing/>
        <w:jc w:val="both"/>
        <w:rPr>
          <w:sz w:val="24"/>
          <w:szCs w:val="24"/>
        </w:rPr>
      </w:pPr>
      <w:r w:rsidRPr="003B4B52">
        <w:rPr>
          <w:sz w:val="24"/>
          <w:szCs w:val="24"/>
        </w:rPr>
        <w:t>If the aforementioned ratios are not met, the merger will not be recommended to Collectibles Inc.</w:t>
      </w:r>
    </w:p>
    <w:p w:rsidR="002B7B0C" w:rsidRDefault="00C91F57" w:rsidP="000C4902">
      <w:pPr>
        <w:pStyle w:val="Heading2"/>
        <w:ind w:left="360"/>
        <w:contextualSpacing/>
        <w:jc w:val="both"/>
        <w:rPr>
          <w:szCs w:val="24"/>
        </w:rPr>
      </w:pPr>
      <w:r w:rsidRPr="003B4B52">
        <w:rPr>
          <w:szCs w:val="24"/>
        </w:rPr>
        <w:t>Projected INcome Statements</w:t>
      </w:r>
    </w:p>
    <w:p w:rsidR="00D830B1" w:rsidRDefault="002B7B0C" w:rsidP="000C4902">
      <w:pPr>
        <w:spacing w:line="240" w:lineRule="auto"/>
        <w:ind w:left="360"/>
        <w:contextualSpacing/>
        <w:jc w:val="both"/>
        <w:rPr>
          <w:sz w:val="24"/>
          <w:szCs w:val="24"/>
        </w:rPr>
      </w:pPr>
      <w:r>
        <w:rPr>
          <w:sz w:val="24"/>
          <w:szCs w:val="24"/>
        </w:rPr>
        <w:tab/>
      </w:r>
      <w:r w:rsidR="000C4902">
        <w:rPr>
          <w:sz w:val="24"/>
          <w:szCs w:val="24"/>
        </w:rPr>
        <w:t>Through</w:t>
      </w:r>
      <w:r>
        <w:rPr>
          <w:sz w:val="24"/>
          <w:szCs w:val="24"/>
        </w:rPr>
        <w:t xml:space="preserve"> the merger of Collectibles and Starlight Inc., net income after taxes is expected to increase from $6,157,743 to $10,974,207 by 2018 (</w:t>
      </w:r>
      <w:r w:rsidR="00652D22" w:rsidRPr="00D04EA1">
        <w:rPr>
          <w:i/>
          <w:color w:val="auto"/>
          <w:sz w:val="24"/>
          <w:szCs w:val="24"/>
        </w:rPr>
        <w:t>see E</w:t>
      </w:r>
      <w:r w:rsidRPr="00D04EA1">
        <w:rPr>
          <w:i/>
          <w:color w:val="auto"/>
          <w:sz w:val="24"/>
          <w:szCs w:val="24"/>
        </w:rPr>
        <w:t xml:space="preserve">xhibits </w:t>
      </w:r>
      <w:r w:rsidR="00D04EA1" w:rsidRPr="00D04EA1">
        <w:rPr>
          <w:i/>
          <w:color w:val="auto"/>
          <w:sz w:val="24"/>
          <w:szCs w:val="24"/>
        </w:rPr>
        <w:t>I-III</w:t>
      </w:r>
      <w:r>
        <w:rPr>
          <w:sz w:val="24"/>
          <w:szCs w:val="24"/>
        </w:rPr>
        <w:t>). T</w:t>
      </w:r>
      <w:r w:rsidR="00D830B1">
        <w:rPr>
          <w:sz w:val="24"/>
          <w:szCs w:val="24"/>
        </w:rPr>
        <w:t xml:space="preserve">his is attributable to </w:t>
      </w:r>
      <w:r>
        <w:rPr>
          <w:sz w:val="24"/>
          <w:szCs w:val="24"/>
        </w:rPr>
        <w:t>operating synerg</w:t>
      </w:r>
      <w:r w:rsidR="00D830B1">
        <w:rPr>
          <w:sz w:val="24"/>
          <w:szCs w:val="24"/>
        </w:rPr>
        <w:t>ies</w:t>
      </w:r>
      <w:r>
        <w:rPr>
          <w:sz w:val="24"/>
          <w:szCs w:val="24"/>
        </w:rPr>
        <w:t xml:space="preserve">, as demonstrated by the line item </w:t>
      </w:r>
      <w:r>
        <w:rPr>
          <w:i/>
          <w:sz w:val="24"/>
          <w:szCs w:val="24"/>
        </w:rPr>
        <w:t>Synergies from Cost Reductions</w:t>
      </w:r>
      <w:r>
        <w:rPr>
          <w:sz w:val="24"/>
          <w:szCs w:val="24"/>
        </w:rPr>
        <w:t xml:space="preserve"> on the income statement. The line item represents $600,000 of annual salary savings and a reduction of 1% in cost of goods sold at the consolidated level.  The 78% in net income is also attributable </w:t>
      </w:r>
      <w:r w:rsidR="00D830B1">
        <w:rPr>
          <w:sz w:val="24"/>
          <w:szCs w:val="24"/>
        </w:rPr>
        <w:t xml:space="preserve">in part </w:t>
      </w:r>
      <w:r>
        <w:rPr>
          <w:sz w:val="24"/>
          <w:szCs w:val="24"/>
        </w:rPr>
        <w:t>to the fact that n</w:t>
      </w:r>
      <w:r w:rsidR="00210D45" w:rsidRPr="003B4B52">
        <w:rPr>
          <w:sz w:val="24"/>
          <w:szCs w:val="24"/>
        </w:rPr>
        <w:t>o more capital expenditures will occur as operating synergies will occur with the combination of both entities fixed assets.</w:t>
      </w:r>
      <w:r>
        <w:rPr>
          <w:sz w:val="24"/>
          <w:szCs w:val="24"/>
        </w:rPr>
        <w:t xml:space="preserve"> </w:t>
      </w:r>
    </w:p>
    <w:p w:rsidR="00210D45" w:rsidRDefault="00D830B1" w:rsidP="000C4902">
      <w:pPr>
        <w:spacing w:line="240" w:lineRule="auto"/>
        <w:ind w:left="360"/>
        <w:contextualSpacing/>
        <w:jc w:val="both"/>
        <w:rPr>
          <w:sz w:val="24"/>
          <w:szCs w:val="24"/>
        </w:rPr>
      </w:pPr>
      <w:r>
        <w:rPr>
          <w:sz w:val="24"/>
          <w:szCs w:val="24"/>
        </w:rPr>
        <w:tab/>
        <w:t>As asset lives and historical costs were not provided and net fixed assets are presented at a negative balance in Starlight’s historical financial statements, depreciation is set at $0 for subsequent years for both firms in order to depict a more accurate balance in net fixed assets.  A similar situation arose for amortization expense.</w:t>
      </w:r>
    </w:p>
    <w:p w:rsidR="00D830B1" w:rsidRDefault="00D830B1" w:rsidP="000C4902">
      <w:pPr>
        <w:spacing w:line="240" w:lineRule="auto"/>
        <w:ind w:left="360"/>
        <w:contextualSpacing/>
        <w:jc w:val="both"/>
        <w:rPr>
          <w:sz w:val="24"/>
          <w:szCs w:val="24"/>
        </w:rPr>
      </w:pPr>
      <w:r>
        <w:rPr>
          <w:sz w:val="24"/>
          <w:szCs w:val="24"/>
        </w:rPr>
        <w:tab/>
        <w:t>Other administrative expenses were calculated based on the percentage sales approach as outlined in greater detail in the section above. However, if expenses had remained constant for two or more years, the value was carried forward as the projected value</w:t>
      </w:r>
      <w:r w:rsidR="00652D22">
        <w:rPr>
          <w:sz w:val="24"/>
          <w:szCs w:val="24"/>
        </w:rPr>
        <w:t xml:space="preserve"> (except when dealing with taxes). </w:t>
      </w:r>
      <w:r w:rsidR="00652D22" w:rsidRPr="000C4902">
        <w:rPr>
          <w:sz w:val="24"/>
          <w:szCs w:val="24"/>
        </w:rPr>
        <w:t>Commissions &amp; Royalties/Fees</w:t>
      </w:r>
      <w:r w:rsidR="00652D22">
        <w:rPr>
          <w:sz w:val="24"/>
          <w:szCs w:val="24"/>
        </w:rPr>
        <w:t xml:space="preserve"> were also zeroed out for Starlight as we determined this line item could be eliminated due to the consolidation. In other words, commission's costs will be reduced due to a reduction in workforce (specifically relating to the sales department).</w:t>
      </w:r>
    </w:p>
    <w:p w:rsidR="00872F5C" w:rsidRDefault="00652D22" w:rsidP="000C4902">
      <w:pPr>
        <w:spacing w:line="240" w:lineRule="auto"/>
        <w:ind w:left="360"/>
        <w:contextualSpacing/>
        <w:jc w:val="both"/>
        <w:rPr>
          <w:sz w:val="24"/>
          <w:szCs w:val="24"/>
        </w:rPr>
      </w:pPr>
      <w:r>
        <w:rPr>
          <w:sz w:val="24"/>
          <w:szCs w:val="24"/>
        </w:rPr>
        <w:tab/>
        <w:t>Interest expense was also zeroed at the firm level as the target’s debt was not to be assumed. However, in the consolidated income statement</w:t>
      </w:r>
      <w:r w:rsidR="00872F5C">
        <w:rPr>
          <w:sz w:val="24"/>
          <w:szCs w:val="24"/>
        </w:rPr>
        <w:t xml:space="preserve"> is based on a 7.75% rate applied to both the new long-term debt and the revolving line of credit (explained in more detail in the </w:t>
      </w:r>
      <w:r w:rsidR="00872F5C">
        <w:rPr>
          <w:i/>
          <w:sz w:val="24"/>
          <w:szCs w:val="24"/>
        </w:rPr>
        <w:t>Conclusions/Recommendations</w:t>
      </w:r>
      <w:r w:rsidR="00872F5C">
        <w:rPr>
          <w:sz w:val="24"/>
          <w:szCs w:val="24"/>
        </w:rPr>
        <w:t xml:space="preserve"> section).</w:t>
      </w:r>
    </w:p>
    <w:p w:rsidR="00021121" w:rsidRDefault="00021121" w:rsidP="000C4902">
      <w:pPr>
        <w:spacing w:line="240" w:lineRule="auto"/>
        <w:ind w:left="360"/>
        <w:contextualSpacing/>
        <w:jc w:val="both"/>
        <w:rPr>
          <w:sz w:val="24"/>
          <w:szCs w:val="24"/>
        </w:rPr>
      </w:pPr>
      <w:r>
        <w:rPr>
          <w:sz w:val="24"/>
          <w:szCs w:val="24"/>
        </w:rPr>
        <w:lastRenderedPageBreak/>
        <w:tab/>
        <w:t>Taxes were calculated based on a corporate tax rate of 40%. As information regarding carryforwards was not provided, it was disregarded.</w:t>
      </w:r>
    </w:p>
    <w:p w:rsidR="00D01B67" w:rsidRPr="003B4B52" w:rsidRDefault="00C91F57" w:rsidP="000C4902">
      <w:pPr>
        <w:pStyle w:val="Heading2"/>
        <w:ind w:left="360"/>
        <w:contextualSpacing/>
        <w:jc w:val="both"/>
        <w:rPr>
          <w:szCs w:val="24"/>
        </w:rPr>
      </w:pPr>
      <w:r w:rsidRPr="003B4B52">
        <w:rPr>
          <w:szCs w:val="24"/>
        </w:rPr>
        <w:t>Projected Balance Sheets</w:t>
      </w:r>
    </w:p>
    <w:p w:rsidR="00C67FA4" w:rsidRDefault="00021121" w:rsidP="000C4902">
      <w:pPr>
        <w:pStyle w:val="ListBullet"/>
        <w:numPr>
          <w:ilvl w:val="0"/>
          <w:numId w:val="0"/>
        </w:numPr>
        <w:spacing w:line="240" w:lineRule="auto"/>
        <w:ind w:left="360"/>
        <w:contextualSpacing/>
        <w:jc w:val="both"/>
        <w:rPr>
          <w:sz w:val="24"/>
          <w:szCs w:val="24"/>
        </w:rPr>
      </w:pPr>
      <w:r>
        <w:rPr>
          <w:sz w:val="24"/>
          <w:szCs w:val="24"/>
        </w:rPr>
        <w:tab/>
        <w:t xml:space="preserve">Assets </w:t>
      </w:r>
      <w:r w:rsidR="00CB6790">
        <w:rPr>
          <w:sz w:val="24"/>
          <w:szCs w:val="24"/>
        </w:rPr>
        <w:t>were determined on</w:t>
      </w:r>
      <w:r>
        <w:rPr>
          <w:sz w:val="24"/>
          <w:szCs w:val="24"/>
        </w:rPr>
        <w:t xml:space="preserve"> </w:t>
      </w:r>
      <w:r w:rsidR="00CB6790">
        <w:rPr>
          <w:sz w:val="24"/>
          <w:szCs w:val="24"/>
        </w:rPr>
        <w:t>varying bases</w:t>
      </w:r>
      <w:r>
        <w:rPr>
          <w:sz w:val="24"/>
          <w:szCs w:val="24"/>
        </w:rPr>
        <w:t xml:space="preserve"> on the balance sheet</w:t>
      </w:r>
      <w:r w:rsidR="00CB6790">
        <w:rPr>
          <w:sz w:val="24"/>
          <w:szCs w:val="24"/>
        </w:rPr>
        <w:t xml:space="preserve"> and </w:t>
      </w:r>
      <w:r w:rsidR="000C4902">
        <w:rPr>
          <w:sz w:val="24"/>
          <w:szCs w:val="24"/>
        </w:rPr>
        <w:t>were projected to increase</w:t>
      </w:r>
      <w:r w:rsidR="00CB6790">
        <w:rPr>
          <w:sz w:val="24"/>
          <w:szCs w:val="24"/>
        </w:rPr>
        <w:t xml:space="preserve"> from $33,355,212 to $55,436,953 by 2018</w:t>
      </w:r>
      <w:r>
        <w:rPr>
          <w:sz w:val="24"/>
          <w:szCs w:val="24"/>
        </w:rPr>
        <w:t xml:space="preserve">. </w:t>
      </w:r>
    </w:p>
    <w:p w:rsidR="00D01B67" w:rsidRDefault="00C67FA4" w:rsidP="000C4902">
      <w:pPr>
        <w:pStyle w:val="ListBullet"/>
        <w:numPr>
          <w:ilvl w:val="0"/>
          <w:numId w:val="0"/>
        </w:numPr>
        <w:spacing w:line="240" w:lineRule="auto"/>
        <w:ind w:left="360"/>
        <w:contextualSpacing/>
        <w:jc w:val="both"/>
        <w:rPr>
          <w:sz w:val="24"/>
          <w:szCs w:val="24"/>
        </w:rPr>
      </w:pPr>
      <w:r>
        <w:rPr>
          <w:sz w:val="24"/>
          <w:szCs w:val="24"/>
        </w:rPr>
        <w:tab/>
      </w:r>
      <w:r w:rsidR="00021121">
        <w:rPr>
          <w:sz w:val="24"/>
          <w:szCs w:val="24"/>
        </w:rPr>
        <w:t xml:space="preserve">Cash was zeroed out for Starlight Inc. as it was expected to be paid out as a dividend </w:t>
      </w:r>
      <w:r w:rsidR="000C4902">
        <w:rPr>
          <w:sz w:val="24"/>
          <w:szCs w:val="24"/>
        </w:rPr>
        <w:t>to</w:t>
      </w:r>
      <w:r w:rsidR="00021121">
        <w:rPr>
          <w:sz w:val="24"/>
          <w:szCs w:val="24"/>
        </w:rPr>
        <w:t xml:space="preserve"> existing shareholders. In the consolidated statements, cash was set as the necessary amount needed to support projected sales af</w:t>
      </w:r>
      <w:r w:rsidR="00CB6790">
        <w:rPr>
          <w:sz w:val="24"/>
          <w:szCs w:val="24"/>
        </w:rPr>
        <w:t>ter other assets were projected (</w:t>
      </w:r>
      <w:r w:rsidR="00B2766E" w:rsidRPr="00D04EA1">
        <w:rPr>
          <w:i/>
          <w:color w:val="auto"/>
          <w:sz w:val="24"/>
          <w:szCs w:val="24"/>
        </w:rPr>
        <w:t>see Exhibits I</w:t>
      </w:r>
      <w:r w:rsidR="00B2766E">
        <w:rPr>
          <w:i/>
          <w:color w:val="auto"/>
          <w:sz w:val="24"/>
          <w:szCs w:val="24"/>
        </w:rPr>
        <w:t>V-VI</w:t>
      </w:r>
      <w:r w:rsidR="00CB6790">
        <w:rPr>
          <w:sz w:val="24"/>
          <w:szCs w:val="24"/>
        </w:rPr>
        <w:t xml:space="preserve">). </w:t>
      </w:r>
    </w:p>
    <w:p w:rsidR="00CB6790" w:rsidRDefault="00CB6790" w:rsidP="000C4902">
      <w:pPr>
        <w:pStyle w:val="ListBullet"/>
        <w:numPr>
          <w:ilvl w:val="0"/>
          <w:numId w:val="0"/>
        </w:numPr>
        <w:spacing w:line="240" w:lineRule="auto"/>
        <w:ind w:left="360"/>
        <w:contextualSpacing/>
        <w:jc w:val="both"/>
        <w:rPr>
          <w:sz w:val="24"/>
          <w:szCs w:val="24"/>
        </w:rPr>
      </w:pPr>
      <w:r>
        <w:rPr>
          <w:sz w:val="24"/>
          <w:szCs w:val="24"/>
        </w:rPr>
        <w:tab/>
        <w:t>The balances in accounts receivable were projected based on the historical average collection period of 43 days for Collections and 58 days for Starlight (</w:t>
      </w:r>
      <w:r w:rsidRPr="00575073">
        <w:rPr>
          <w:i/>
          <w:color w:val="auto"/>
          <w:sz w:val="24"/>
          <w:szCs w:val="24"/>
        </w:rPr>
        <w:t xml:space="preserve">see Table </w:t>
      </w:r>
      <w:r w:rsidR="00575073" w:rsidRPr="00575073">
        <w:rPr>
          <w:i/>
          <w:color w:val="auto"/>
          <w:sz w:val="24"/>
          <w:szCs w:val="24"/>
        </w:rPr>
        <w:t>1</w:t>
      </w:r>
      <w:r w:rsidRPr="00575073">
        <w:rPr>
          <w:sz w:val="24"/>
          <w:szCs w:val="24"/>
        </w:rPr>
        <w:t>)</w:t>
      </w:r>
      <w:r>
        <w:rPr>
          <w:sz w:val="24"/>
          <w:szCs w:val="24"/>
        </w:rPr>
        <w:t xml:space="preserve"> based on total sales. A similar approach was taken in calculating the inventory levels for both firms. The values were based on inventory turnover ratios of 6.54 for Collectibles and 2.37 for Starlight Inc. (</w:t>
      </w:r>
      <w:r w:rsidRPr="00575073">
        <w:rPr>
          <w:i/>
          <w:color w:val="auto"/>
          <w:sz w:val="24"/>
          <w:szCs w:val="24"/>
        </w:rPr>
        <w:t xml:space="preserve">see Table </w:t>
      </w:r>
      <w:r w:rsidR="00575073" w:rsidRPr="00575073">
        <w:rPr>
          <w:i/>
          <w:color w:val="auto"/>
          <w:sz w:val="24"/>
          <w:szCs w:val="24"/>
        </w:rPr>
        <w:t>2</w:t>
      </w:r>
      <w:r>
        <w:rPr>
          <w:sz w:val="24"/>
          <w:szCs w:val="24"/>
        </w:rPr>
        <w:t>)</w:t>
      </w:r>
      <w:r w:rsidR="00C67FA4">
        <w:rPr>
          <w:sz w:val="24"/>
          <w:szCs w:val="24"/>
        </w:rPr>
        <w:t xml:space="preserve"> and them summed at the consolidated level. As the consolidated firm becomes more stable, we anticipate the average collection period to drop and the turnover ratio to increase by year 2020.</w:t>
      </w:r>
    </w:p>
    <w:p w:rsidR="00C67FA4" w:rsidRDefault="00C67FA4" w:rsidP="000C4902">
      <w:pPr>
        <w:pStyle w:val="ListBullet"/>
        <w:numPr>
          <w:ilvl w:val="0"/>
          <w:numId w:val="0"/>
        </w:numPr>
        <w:spacing w:line="240" w:lineRule="auto"/>
        <w:ind w:left="360"/>
        <w:contextualSpacing/>
        <w:jc w:val="both"/>
        <w:rPr>
          <w:sz w:val="24"/>
          <w:szCs w:val="24"/>
        </w:rPr>
      </w:pPr>
      <w:r>
        <w:rPr>
          <w:sz w:val="24"/>
          <w:szCs w:val="24"/>
        </w:rPr>
        <w:tab/>
        <w:t xml:space="preserve">As no further capital expenditures will be required and we stopped depreciating fixed assets due to previous accounting errors, net fixed asset balance are expected to remain constant in the foreseeable future. </w:t>
      </w:r>
    </w:p>
    <w:p w:rsidR="00095C43" w:rsidRDefault="00C67FA4" w:rsidP="000C4902">
      <w:pPr>
        <w:pStyle w:val="ListBullet"/>
        <w:numPr>
          <w:ilvl w:val="0"/>
          <w:numId w:val="0"/>
        </w:numPr>
        <w:spacing w:line="240" w:lineRule="auto"/>
        <w:ind w:left="360"/>
        <w:contextualSpacing/>
        <w:jc w:val="both"/>
        <w:rPr>
          <w:sz w:val="24"/>
          <w:szCs w:val="24"/>
        </w:rPr>
      </w:pPr>
      <w:r>
        <w:rPr>
          <w:sz w:val="24"/>
          <w:szCs w:val="24"/>
        </w:rPr>
        <w:tab/>
      </w:r>
      <w:r w:rsidR="00BE1AB1">
        <w:rPr>
          <w:sz w:val="24"/>
          <w:szCs w:val="24"/>
        </w:rPr>
        <w:t xml:space="preserve">Accounts payable are once more calculated based on the percentage of sales method. Since they are to be assumed by the buyer they are included in the consolidated balance sheet. </w:t>
      </w:r>
    </w:p>
    <w:p w:rsidR="00C67FA4" w:rsidRDefault="00095C43" w:rsidP="000C4902">
      <w:pPr>
        <w:pStyle w:val="ListBullet"/>
        <w:numPr>
          <w:ilvl w:val="0"/>
          <w:numId w:val="0"/>
        </w:numPr>
        <w:spacing w:line="240" w:lineRule="auto"/>
        <w:ind w:left="360"/>
        <w:contextualSpacing/>
        <w:jc w:val="both"/>
        <w:rPr>
          <w:sz w:val="24"/>
          <w:szCs w:val="24"/>
        </w:rPr>
      </w:pPr>
      <w:r>
        <w:rPr>
          <w:sz w:val="24"/>
          <w:szCs w:val="24"/>
        </w:rPr>
        <w:tab/>
        <w:t xml:space="preserve">Unlike accounts payable, </w:t>
      </w:r>
      <w:r w:rsidR="00BE1AB1" w:rsidRPr="000C4902">
        <w:rPr>
          <w:sz w:val="24"/>
          <w:szCs w:val="24"/>
        </w:rPr>
        <w:t xml:space="preserve">Accrued </w:t>
      </w:r>
      <w:r w:rsidRPr="000C4902">
        <w:rPr>
          <w:sz w:val="24"/>
          <w:szCs w:val="24"/>
        </w:rPr>
        <w:t>Expenses on t</w:t>
      </w:r>
      <w:r w:rsidR="00BE1AB1" w:rsidRPr="000C4902">
        <w:rPr>
          <w:sz w:val="24"/>
          <w:szCs w:val="24"/>
        </w:rPr>
        <w:t xml:space="preserve">he consolidated balance sheet </w:t>
      </w:r>
      <w:r w:rsidRPr="000C4902">
        <w:rPr>
          <w:sz w:val="24"/>
          <w:szCs w:val="24"/>
        </w:rPr>
        <w:t>includes only the buyer’s portion of the expenses as this liability will not be assumed.</w:t>
      </w:r>
      <w:r w:rsidR="001B2109" w:rsidRPr="000C4902">
        <w:rPr>
          <w:sz w:val="24"/>
          <w:szCs w:val="24"/>
        </w:rPr>
        <w:t xml:space="preserve"> </w:t>
      </w:r>
      <w:r w:rsidRPr="000C4902">
        <w:rPr>
          <w:sz w:val="24"/>
          <w:szCs w:val="24"/>
        </w:rPr>
        <w:t>Accrued Income/Other Tax include both firms and have been maintained constant as these figures are not expected to fluctuate.</w:t>
      </w:r>
      <w:r>
        <w:rPr>
          <w:sz w:val="24"/>
          <w:szCs w:val="24"/>
        </w:rPr>
        <w:t xml:space="preserve"> </w:t>
      </w:r>
    </w:p>
    <w:p w:rsidR="005C2440" w:rsidRDefault="005C2440" w:rsidP="000C4902">
      <w:pPr>
        <w:pStyle w:val="ListBullet"/>
        <w:numPr>
          <w:ilvl w:val="0"/>
          <w:numId w:val="0"/>
        </w:numPr>
        <w:spacing w:line="240" w:lineRule="auto"/>
        <w:ind w:left="360"/>
        <w:contextualSpacing/>
        <w:jc w:val="both"/>
        <w:rPr>
          <w:sz w:val="24"/>
          <w:szCs w:val="24"/>
        </w:rPr>
      </w:pPr>
      <w:r>
        <w:rPr>
          <w:sz w:val="24"/>
          <w:szCs w:val="24"/>
        </w:rPr>
        <w:tab/>
      </w:r>
      <w:r w:rsidR="00F26128">
        <w:rPr>
          <w:sz w:val="24"/>
          <w:szCs w:val="24"/>
        </w:rPr>
        <w:t>Due to</w:t>
      </w:r>
      <w:r>
        <w:rPr>
          <w:sz w:val="24"/>
          <w:szCs w:val="24"/>
        </w:rPr>
        <w:t xml:space="preserve"> the merger, financing will be restructured using </w:t>
      </w:r>
      <w:r w:rsidR="00F26128">
        <w:rPr>
          <w:sz w:val="24"/>
          <w:szCs w:val="24"/>
        </w:rPr>
        <w:t xml:space="preserve">60% </w:t>
      </w:r>
      <w:r>
        <w:rPr>
          <w:sz w:val="24"/>
          <w:szCs w:val="24"/>
        </w:rPr>
        <w:t xml:space="preserve">debt (consisting of both long-term debt and a revolving credit line) and </w:t>
      </w:r>
      <w:r w:rsidR="00F26128">
        <w:rPr>
          <w:sz w:val="24"/>
          <w:szCs w:val="24"/>
        </w:rPr>
        <w:t xml:space="preserve">40% </w:t>
      </w:r>
      <w:r>
        <w:rPr>
          <w:sz w:val="24"/>
          <w:szCs w:val="24"/>
        </w:rPr>
        <w:t xml:space="preserve">equity; see the </w:t>
      </w:r>
      <w:r>
        <w:rPr>
          <w:i/>
          <w:sz w:val="24"/>
          <w:szCs w:val="24"/>
        </w:rPr>
        <w:t xml:space="preserve">Financing Alternatives </w:t>
      </w:r>
      <w:r>
        <w:rPr>
          <w:sz w:val="24"/>
          <w:szCs w:val="24"/>
        </w:rPr>
        <w:t>section for a breakdown of the financin</w:t>
      </w:r>
      <w:r w:rsidR="00F26128">
        <w:rPr>
          <w:sz w:val="24"/>
          <w:szCs w:val="24"/>
        </w:rPr>
        <w:t>g structure and the balances. Once again, the balances of liabilities and stockholder’s equity reflect the buyer’s prior balances as well as the amounts necessary to finance the asset requirements of the firm as a whole.</w:t>
      </w:r>
    </w:p>
    <w:p w:rsidR="00095C43" w:rsidRPr="00095C43" w:rsidRDefault="00F26128" w:rsidP="000C4902">
      <w:pPr>
        <w:pStyle w:val="ListBullet"/>
        <w:numPr>
          <w:ilvl w:val="0"/>
          <w:numId w:val="0"/>
        </w:numPr>
        <w:spacing w:line="240" w:lineRule="auto"/>
        <w:ind w:left="360"/>
        <w:contextualSpacing/>
        <w:jc w:val="both"/>
        <w:rPr>
          <w:sz w:val="24"/>
          <w:szCs w:val="24"/>
        </w:rPr>
      </w:pPr>
      <w:r>
        <w:rPr>
          <w:sz w:val="24"/>
          <w:szCs w:val="24"/>
        </w:rPr>
        <w:tab/>
        <w:t xml:space="preserve">For the first few years, the consolidated firm will not be paying out dividends. This is because management plans on building up the equity before dividends begin being paid out (beginning in year 2020 </w:t>
      </w:r>
      <w:r w:rsidR="000C4902">
        <w:rPr>
          <w:sz w:val="24"/>
          <w:szCs w:val="24"/>
        </w:rPr>
        <w:t>if</w:t>
      </w:r>
      <w:r>
        <w:rPr>
          <w:sz w:val="24"/>
          <w:szCs w:val="24"/>
        </w:rPr>
        <w:t xml:space="preserve"> the firm’s position remains favorable). Due to this, retained earnings </w:t>
      </w:r>
      <w:r w:rsidR="000C4902">
        <w:rPr>
          <w:sz w:val="24"/>
          <w:szCs w:val="24"/>
        </w:rPr>
        <w:t xml:space="preserve">will </w:t>
      </w:r>
      <w:r>
        <w:rPr>
          <w:sz w:val="24"/>
          <w:szCs w:val="24"/>
        </w:rPr>
        <w:t>increase exponentially from $3,831,954 to $40,238,853 by 2018.</w:t>
      </w:r>
    </w:p>
    <w:p w:rsidR="00D01B67" w:rsidRDefault="00360A7F" w:rsidP="000C4902">
      <w:pPr>
        <w:pStyle w:val="Heading2"/>
        <w:ind w:left="360"/>
        <w:contextualSpacing/>
        <w:jc w:val="both"/>
        <w:rPr>
          <w:szCs w:val="24"/>
        </w:rPr>
      </w:pPr>
      <w:r w:rsidRPr="003B4B52">
        <w:rPr>
          <w:szCs w:val="24"/>
        </w:rPr>
        <w:lastRenderedPageBreak/>
        <w:t>Statement of Cash Flows</w:t>
      </w:r>
    </w:p>
    <w:p w:rsidR="001B2109" w:rsidRPr="001B2109" w:rsidRDefault="00144716" w:rsidP="000C4902">
      <w:pPr>
        <w:spacing w:line="240" w:lineRule="auto"/>
        <w:ind w:left="360"/>
        <w:contextualSpacing/>
        <w:jc w:val="both"/>
      </w:pPr>
      <w:r>
        <w:rPr>
          <w:sz w:val="24"/>
          <w:szCs w:val="24"/>
        </w:rPr>
        <w:tab/>
        <w:t xml:space="preserve">The statement of cash flows indicated that virtually all cash inflows stem from </w:t>
      </w:r>
      <w:r w:rsidR="00825B7C">
        <w:rPr>
          <w:sz w:val="24"/>
          <w:szCs w:val="24"/>
        </w:rPr>
        <w:t>operations;</w:t>
      </w:r>
      <w:r>
        <w:rPr>
          <w:sz w:val="24"/>
          <w:szCs w:val="24"/>
        </w:rPr>
        <w:t xml:space="preserve"> more specifically from net income and a reduction in current liabilities for years 2014 through 2018</w:t>
      </w:r>
      <w:r w:rsidR="00825B7C">
        <w:rPr>
          <w:sz w:val="24"/>
          <w:szCs w:val="24"/>
        </w:rPr>
        <w:t xml:space="preserve"> (</w:t>
      </w:r>
      <w:r w:rsidR="00B2766E" w:rsidRPr="00D04EA1">
        <w:rPr>
          <w:i/>
          <w:color w:val="auto"/>
          <w:sz w:val="24"/>
          <w:szCs w:val="24"/>
        </w:rPr>
        <w:t xml:space="preserve">see Exhibits </w:t>
      </w:r>
      <w:r w:rsidR="00B2766E">
        <w:rPr>
          <w:i/>
          <w:color w:val="auto"/>
          <w:sz w:val="24"/>
          <w:szCs w:val="24"/>
        </w:rPr>
        <w:t>VII-IX</w:t>
      </w:r>
      <w:r w:rsidR="00825B7C">
        <w:rPr>
          <w:sz w:val="24"/>
          <w:szCs w:val="24"/>
        </w:rPr>
        <w:t>)</w:t>
      </w:r>
      <w:r>
        <w:rPr>
          <w:sz w:val="24"/>
          <w:szCs w:val="24"/>
        </w:rPr>
        <w:t>. There are no investing activities that occur for any of the years, but the balances in the financing section are primarily due to repayment of long-term debt</w:t>
      </w:r>
      <w:r w:rsidR="00653E9B">
        <w:rPr>
          <w:sz w:val="24"/>
          <w:szCs w:val="24"/>
        </w:rPr>
        <w:t xml:space="preserve"> and preferred stock. Due to these activities, and the lack of dividend payouts, the cash balance increases significantly from $2,721,329 to $16,135,654.</w:t>
      </w:r>
    </w:p>
    <w:p w:rsidR="00D01B67" w:rsidRDefault="00360A7F" w:rsidP="000C4902">
      <w:pPr>
        <w:pStyle w:val="Heading2"/>
        <w:ind w:left="360"/>
        <w:contextualSpacing/>
        <w:jc w:val="both"/>
        <w:rPr>
          <w:szCs w:val="24"/>
        </w:rPr>
      </w:pPr>
      <w:r w:rsidRPr="003B4B52">
        <w:rPr>
          <w:szCs w:val="24"/>
        </w:rPr>
        <w:t>Financing Alternatives</w:t>
      </w:r>
    </w:p>
    <w:p w:rsidR="00653E9B" w:rsidRDefault="00DE0A4C" w:rsidP="000C4902">
      <w:pPr>
        <w:spacing w:line="240" w:lineRule="auto"/>
        <w:ind w:left="360"/>
        <w:contextualSpacing/>
        <w:jc w:val="both"/>
        <w:rPr>
          <w:sz w:val="24"/>
          <w:szCs w:val="24"/>
        </w:rPr>
      </w:pPr>
      <w:r>
        <w:rPr>
          <w:sz w:val="24"/>
          <w:szCs w:val="24"/>
        </w:rPr>
        <w:tab/>
      </w:r>
      <w:r w:rsidR="00653E9B">
        <w:rPr>
          <w:sz w:val="24"/>
          <w:szCs w:val="24"/>
        </w:rPr>
        <w:t>Our analysts have determined the Net Present Value of the target to be $7,849,026 with a weighted average cost of capital of 14.79% based on the table below:</w:t>
      </w:r>
    </w:p>
    <w:p w:rsidR="000654D4" w:rsidRDefault="000654D4" w:rsidP="000C4902">
      <w:pPr>
        <w:spacing w:line="240" w:lineRule="auto"/>
        <w:ind w:left="360"/>
        <w:contextualSpacing/>
        <w:jc w:val="both"/>
        <w:rPr>
          <w:sz w:val="24"/>
          <w:szCs w:val="24"/>
        </w:rPr>
      </w:pPr>
    </w:p>
    <w:p w:rsidR="00653E9B" w:rsidRDefault="00653E9B" w:rsidP="000C4902">
      <w:pPr>
        <w:spacing w:line="240" w:lineRule="auto"/>
        <w:ind w:left="360"/>
        <w:contextualSpacing/>
        <w:jc w:val="both"/>
      </w:pPr>
      <w:r w:rsidRPr="00653E9B">
        <w:rPr>
          <w:noProof/>
          <w:lang w:eastAsia="en-US"/>
        </w:rPr>
        <w:drawing>
          <wp:inline distT="0" distB="0" distL="0" distR="0" wp14:anchorId="64A0CB01" wp14:editId="0798DF46">
            <wp:extent cx="5797550" cy="91159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7550" cy="911591"/>
                    </a:xfrm>
                    <a:prstGeom prst="rect">
                      <a:avLst/>
                    </a:prstGeom>
                    <a:noFill/>
                    <a:ln>
                      <a:noFill/>
                    </a:ln>
                  </pic:spPr>
                </pic:pic>
              </a:graphicData>
            </a:graphic>
          </wp:inline>
        </w:drawing>
      </w:r>
    </w:p>
    <w:p w:rsidR="000654D4" w:rsidRDefault="00B973EF" w:rsidP="000C4902">
      <w:pPr>
        <w:spacing w:line="240" w:lineRule="auto"/>
        <w:ind w:left="360"/>
        <w:contextualSpacing/>
        <w:jc w:val="both"/>
        <w:rPr>
          <w:sz w:val="24"/>
          <w:szCs w:val="24"/>
        </w:rPr>
      </w:pPr>
      <w:r>
        <w:rPr>
          <w:sz w:val="24"/>
          <w:szCs w:val="24"/>
        </w:rPr>
        <w:tab/>
      </w:r>
    </w:p>
    <w:p w:rsidR="00DE0A4C" w:rsidRDefault="000654D4" w:rsidP="000C4902">
      <w:pPr>
        <w:spacing w:line="240" w:lineRule="auto"/>
        <w:ind w:left="360"/>
        <w:contextualSpacing/>
        <w:jc w:val="both"/>
        <w:rPr>
          <w:sz w:val="24"/>
          <w:szCs w:val="24"/>
        </w:rPr>
      </w:pPr>
      <w:r>
        <w:rPr>
          <w:sz w:val="24"/>
          <w:szCs w:val="24"/>
        </w:rPr>
        <w:tab/>
      </w:r>
      <w:r w:rsidR="00B973EF">
        <w:rPr>
          <w:sz w:val="24"/>
          <w:szCs w:val="24"/>
        </w:rPr>
        <w:t>As has been mentioned throughout the report, the merger is to be financed with 60% debt and 40% equity</w:t>
      </w:r>
      <w:r w:rsidR="00226A45">
        <w:rPr>
          <w:sz w:val="24"/>
          <w:szCs w:val="24"/>
        </w:rPr>
        <w:t xml:space="preserve"> (provided by venture capitalists)</w:t>
      </w:r>
      <w:r w:rsidR="00B973EF">
        <w:rPr>
          <w:sz w:val="24"/>
          <w:szCs w:val="24"/>
        </w:rPr>
        <w:t xml:space="preserve">.  In regards to the debt financing portion it is our recommendation that 75% be financed via long-term debt ($6,140,880) </w:t>
      </w:r>
      <w:r w:rsidR="00226A45">
        <w:rPr>
          <w:sz w:val="24"/>
          <w:szCs w:val="24"/>
        </w:rPr>
        <w:t xml:space="preserve">to be paid over a 5 year period </w:t>
      </w:r>
      <w:r w:rsidR="00B973EF">
        <w:rPr>
          <w:sz w:val="24"/>
          <w:szCs w:val="24"/>
        </w:rPr>
        <w:t xml:space="preserve">and that the remaining 25% </w:t>
      </w:r>
      <w:r w:rsidR="00226A45">
        <w:rPr>
          <w:sz w:val="24"/>
          <w:szCs w:val="24"/>
        </w:rPr>
        <w:t xml:space="preserve">($2,046,960) </w:t>
      </w:r>
      <w:r w:rsidR="00B973EF">
        <w:rPr>
          <w:sz w:val="24"/>
          <w:szCs w:val="24"/>
        </w:rPr>
        <w:t>be financed using the revolving line of credit extended by Eastern Seaboard Bank</w:t>
      </w:r>
      <w:r w:rsidR="000C4902">
        <w:rPr>
          <w:sz w:val="24"/>
          <w:szCs w:val="24"/>
        </w:rPr>
        <w:t xml:space="preserve"> (both having a 7.75% interest rate)</w:t>
      </w:r>
      <w:r w:rsidR="00226A45">
        <w:rPr>
          <w:sz w:val="24"/>
          <w:szCs w:val="24"/>
        </w:rPr>
        <w:t>; see the table below for a breakdown.</w:t>
      </w:r>
      <w:r w:rsidR="00B973EF">
        <w:rPr>
          <w:sz w:val="24"/>
          <w:szCs w:val="24"/>
        </w:rPr>
        <w:t xml:space="preserve"> </w:t>
      </w:r>
    </w:p>
    <w:p w:rsidR="000654D4" w:rsidRPr="00226A45" w:rsidRDefault="000654D4" w:rsidP="000C4902">
      <w:pPr>
        <w:spacing w:line="240" w:lineRule="auto"/>
        <w:ind w:left="360"/>
        <w:contextualSpacing/>
        <w:jc w:val="both"/>
        <w:rPr>
          <w:sz w:val="24"/>
          <w:szCs w:val="24"/>
        </w:rPr>
      </w:pPr>
    </w:p>
    <w:p w:rsidR="00653E9B" w:rsidRDefault="00DE0A4C" w:rsidP="00653E9B">
      <w:pPr>
        <w:ind w:left="360"/>
      </w:pPr>
      <w:r w:rsidRPr="00DE0A4C">
        <w:rPr>
          <w:noProof/>
          <w:lang w:eastAsia="en-US"/>
        </w:rPr>
        <w:drawing>
          <wp:inline distT="0" distB="0" distL="0" distR="0" wp14:anchorId="1324910C" wp14:editId="7CDD3E5D">
            <wp:extent cx="5797550" cy="218170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7550" cy="2181700"/>
                    </a:xfrm>
                    <a:prstGeom prst="rect">
                      <a:avLst/>
                    </a:prstGeom>
                    <a:noFill/>
                    <a:ln>
                      <a:noFill/>
                    </a:ln>
                  </pic:spPr>
                </pic:pic>
              </a:graphicData>
            </a:graphic>
          </wp:inline>
        </w:drawing>
      </w:r>
    </w:p>
    <w:p w:rsidR="00D01B67" w:rsidRDefault="00FF238C" w:rsidP="00360A7F">
      <w:pPr>
        <w:pStyle w:val="Heading1"/>
        <w:ind w:left="0"/>
      </w:pPr>
      <w:r>
        <w:lastRenderedPageBreak/>
        <w:t>Conclusions/Recommendations</w:t>
      </w:r>
    </w:p>
    <w:p w:rsidR="000E0779" w:rsidRDefault="00226A45" w:rsidP="000E0779">
      <w:pPr>
        <w:spacing w:line="240" w:lineRule="auto"/>
        <w:contextualSpacing/>
        <w:jc w:val="both"/>
        <w:rPr>
          <w:sz w:val="24"/>
          <w:szCs w:val="24"/>
        </w:rPr>
      </w:pPr>
      <w:r>
        <w:rPr>
          <w:sz w:val="24"/>
          <w:szCs w:val="24"/>
        </w:rPr>
        <w:tab/>
        <w:t xml:space="preserve">Based on the analysis provided in previous sections and the valuation of Starlight Inc., it is our recommendation that the merger of the two firms is in Collectible Inc.’s best financial interest. The merger would lead to significant operating efficiencies which would in turn lead to an unprecedented growth in both net income and total assets. By structuring the financing as proposed in the previous section, the newly consolidated firm would meet the Quick Ration and Debt Service Coverage Ratios of at least 1.25 and </w:t>
      </w:r>
      <w:r w:rsidR="000E0779">
        <w:rPr>
          <w:sz w:val="24"/>
          <w:szCs w:val="24"/>
        </w:rPr>
        <w:t>1.75 respectively; see table below for projected ratios.</w:t>
      </w:r>
    </w:p>
    <w:p w:rsidR="000E0779" w:rsidRDefault="000E0779" w:rsidP="000E0779">
      <w:pPr>
        <w:spacing w:line="240" w:lineRule="auto"/>
        <w:contextualSpacing/>
        <w:jc w:val="both"/>
      </w:pPr>
      <w:r w:rsidRPr="000E0779">
        <w:t xml:space="preserve"> </w:t>
      </w:r>
      <w:r w:rsidRPr="000E0779">
        <w:rPr>
          <w:noProof/>
          <w:lang w:eastAsia="en-US"/>
        </w:rPr>
        <w:drawing>
          <wp:inline distT="0" distB="0" distL="0" distR="0" wp14:anchorId="1EF66E95" wp14:editId="6EFD0672">
            <wp:extent cx="5797550" cy="525148"/>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7550" cy="525148"/>
                    </a:xfrm>
                    <a:prstGeom prst="rect">
                      <a:avLst/>
                    </a:prstGeom>
                    <a:noFill/>
                    <a:ln>
                      <a:noFill/>
                    </a:ln>
                  </pic:spPr>
                </pic:pic>
              </a:graphicData>
            </a:graphic>
          </wp:inline>
        </w:drawing>
      </w:r>
    </w:p>
    <w:p w:rsidR="000E0779" w:rsidRDefault="000E0779" w:rsidP="000E0779">
      <w:pPr>
        <w:spacing w:line="240" w:lineRule="auto"/>
        <w:contextualSpacing/>
        <w:jc w:val="both"/>
      </w:pPr>
      <w:r>
        <w:tab/>
      </w:r>
    </w:p>
    <w:p w:rsidR="00FF238C" w:rsidRPr="000E0779" w:rsidRDefault="000E0779" w:rsidP="000E0779">
      <w:pPr>
        <w:spacing w:line="240" w:lineRule="auto"/>
        <w:contextualSpacing/>
        <w:jc w:val="both"/>
        <w:rPr>
          <w:sz w:val="24"/>
          <w:szCs w:val="24"/>
        </w:rPr>
      </w:pPr>
      <w:r>
        <w:tab/>
      </w:r>
      <w:r w:rsidR="000654D4">
        <w:rPr>
          <w:sz w:val="24"/>
          <w:szCs w:val="24"/>
        </w:rPr>
        <w:t>However, although financing the debt portion relying primarily on long term debt provides the desired ratios</w:t>
      </w:r>
      <w:r w:rsidR="00C05E9D">
        <w:rPr>
          <w:sz w:val="24"/>
          <w:szCs w:val="24"/>
        </w:rPr>
        <w:t xml:space="preserve">, our cash balance suffers as a result of having to pay out such large amounts </w:t>
      </w:r>
      <w:r w:rsidR="000C4902">
        <w:rPr>
          <w:sz w:val="24"/>
          <w:szCs w:val="24"/>
        </w:rPr>
        <w:t>due to loan repayment</w:t>
      </w:r>
      <w:r w:rsidR="00C05E9D">
        <w:rPr>
          <w:sz w:val="24"/>
          <w:szCs w:val="24"/>
        </w:rPr>
        <w:t xml:space="preserve"> on an annual basis</w:t>
      </w:r>
      <w:r w:rsidR="00575073">
        <w:rPr>
          <w:sz w:val="24"/>
          <w:szCs w:val="24"/>
        </w:rPr>
        <w:t xml:space="preserve"> (for a 5 year period after the acquisition)</w:t>
      </w:r>
      <w:r w:rsidR="00C05E9D">
        <w:rPr>
          <w:sz w:val="24"/>
          <w:szCs w:val="24"/>
        </w:rPr>
        <w:t xml:space="preserve">. Nevertheless, this remains the optimal recommendation. </w:t>
      </w:r>
    </w:p>
    <w:p w:rsidR="00FF238C" w:rsidRDefault="00FF238C" w:rsidP="000E0779">
      <w:pPr>
        <w:pStyle w:val="TableText"/>
        <w:spacing w:before="480"/>
        <w:contextualSpacing/>
        <w:jc w:val="both"/>
      </w:pPr>
    </w:p>
    <w:p w:rsidR="00FF238C" w:rsidRDefault="00FF238C" w:rsidP="000E0779">
      <w:pPr>
        <w:pStyle w:val="TableText"/>
        <w:spacing w:before="480"/>
        <w:contextualSpacing/>
        <w:jc w:val="both"/>
      </w:pPr>
    </w:p>
    <w:p w:rsidR="00FF238C" w:rsidRDefault="00FF238C">
      <w:pPr>
        <w:pStyle w:val="TableText"/>
        <w:spacing w:before="480"/>
      </w:pPr>
    </w:p>
    <w:p w:rsidR="00FF238C" w:rsidRDefault="00FF238C">
      <w:pPr>
        <w:pStyle w:val="TableText"/>
        <w:spacing w:before="480"/>
      </w:pPr>
    </w:p>
    <w:p w:rsidR="00FF238C" w:rsidRDefault="00FF238C">
      <w:pPr>
        <w:pStyle w:val="TableText"/>
        <w:spacing w:before="480"/>
      </w:pPr>
    </w:p>
    <w:p w:rsidR="00FF238C" w:rsidRDefault="00FF238C">
      <w:pPr>
        <w:pStyle w:val="TableText"/>
        <w:spacing w:before="480"/>
      </w:pPr>
    </w:p>
    <w:p w:rsidR="00FF238C" w:rsidRDefault="00FF238C">
      <w:r>
        <w:br w:type="page"/>
      </w:r>
    </w:p>
    <w:p w:rsidR="00FE7F6C" w:rsidRDefault="00FE7F6C" w:rsidP="00FE7F6C">
      <w:pPr>
        <w:pStyle w:val="Heading1"/>
        <w:ind w:left="0"/>
      </w:pPr>
      <w:r>
        <w:lastRenderedPageBreak/>
        <w:t>Exhibits/Tables</w:t>
      </w:r>
    </w:p>
    <w:p w:rsidR="00575073" w:rsidRPr="00575073" w:rsidRDefault="00575073" w:rsidP="00575073">
      <w:r w:rsidRPr="00575073">
        <w:rPr>
          <w:noProof/>
          <w:lang w:eastAsia="en-US"/>
        </w:rPr>
        <w:drawing>
          <wp:inline distT="0" distB="0" distL="0" distR="0" wp14:anchorId="12A57BAF" wp14:editId="7186B42D">
            <wp:extent cx="5797550" cy="338855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7550" cy="3388559"/>
                    </a:xfrm>
                    <a:prstGeom prst="rect">
                      <a:avLst/>
                    </a:prstGeom>
                    <a:noFill/>
                    <a:ln>
                      <a:noFill/>
                    </a:ln>
                  </pic:spPr>
                </pic:pic>
              </a:graphicData>
            </a:graphic>
          </wp:inline>
        </w:drawing>
      </w:r>
    </w:p>
    <w:p w:rsidR="00FF238C" w:rsidRDefault="00575073">
      <w:r w:rsidRPr="00575073">
        <w:rPr>
          <w:noProof/>
          <w:lang w:eastAsia="en-US"/>
        </w:rPr>
        <w:drawing>
          <wp:inline distT="0" distB="0" distL="0" distR="0" wp14:anchorId="344C7CDB" wp14:editId="755EA8EF">
            <wp:extent cx="5797550" cy="29237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7550" cy="2923718"/>
                    </a:xfrm>
                    <a:prstGeom prst="rect">
                      <a:avLst/>
                    </a:prstGeom>
                    <a:noFill/>
                    <a:ln>
                      <a:noFill/>
                    </a:ln>
                  </pic:spPr>
                </pic:pic>
              </a:graphicData>
            </a:graphic>
          </wp:inline>
        </w:drawing>
      </w:r>
    </w:p>
    <w:p w:rsidR="00FF238C" w:rsidRDefault="00FF238C" w:rsidP="00D04EA1"/>
    <w:sectPr w:rsidR="00FF238C">
      <w:headerReference w:type="default" r:id="rId17"/>
      <w:footerReference w:type="default" r:id="rId18"/>
      <w:pgSz w:w="12240" w:h="15840" w:code="1"/>
      <w:pgMar w:top="2520" w:right="1555" w:bottom="1800" w:left="1555"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5B8" w:rsidRDefault="00CF65B8">
      <w:pPr>
        <w:spacing w:after="0" w:line="240" w:lineRule="auto"/>
      </w:pPr>
      <w:r>
        <w:separator/>
      </w:r>
    </w:p>
  </w:endnote>
  <w:endnote w:type="continuationSeparator" w:id="0">
    <w:p w:rsidR="00CF65B8" w:rsidRDefault="00CF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67" w:rsidRDefault="00583F71">
    <w:pPr>
      <w:pStyle w:val="Footer"/>
    </w:pPr>
    <w:r>
      <w:t xml:space="preserve">Page </w:t>
    </w:r>
    <w:r>
      <w:fldChar w:fldCharType="begin"/>
    </w:r>
    <w:r>
      <w:instrText xml:space="preserve"> page </w:instrText>
    </w:r>
    <w:r>
      <w:fldChar w:fldCharType="separate"/>
    </w:r>
    <w:r w:rsidR="00DB30ED">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5B8" w:rsidRDefault="00CF65B8">
      <w:pPr>
        <w:spacing w:after="0" w:line="240" w:lineRule="auto"/>
      </w:pPr>
      <w:r>
        <w:separator/>
      </w:r>
    </w:p>
  </w:footnote>
  <w:footnote w:type="continuationSeparator" w:id="0">
    <w:p w:rsidR="00CF65B8" w:rsidRDefault="00CF6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67" w:rsidRDefault="00583F71">
    <w:pPr>
      <w:pStyle w:val="HeaderShaded"/>
      <w:tabs>
        <w:tab w:val="left" w:pos="5032"/>
      </w:tabs>
    </w:pPr>
    <w:r>
      <w:t>Table of 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67" w:rsidRDefault="00D01B67" w:rsidP="00572136">
    <w:pPr>
      <w:pStyle w:val="HeaderShaded"/>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10" w15:restartNumberingAfterBreak="0">
    <w:nsid w:val="03B32190"/>
    <w:multiLevelType w:val="multilevel"/>
    <w:tmpl w:val="9CA4ABB8"/>
    <w:numStyleLink w:val="AnnualReport"/>
  </w:abstractNum>
  <w:abstractNum w:abstractNumId="11"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15"/>
  </w:num>
  <w:num w:numId="17">
    <w:abstractNumId w:val="11"/>
  </w:num>
  <w:num w:numId="18">
    <w:abstractNumId w:val="10"/>
  </w:num>
  <w:num w:numId="19">
    <w:abstractNumId w:val="14"/>
  </w:num>
  <w:num w:numId="20">
    <w:abstractNumId w:val="9"/>
  </w:num>
  <w:num w:numId="21">
    <w:abstractNumId w:val="9"/>
  </w:num>
  <w:num w:numId="22">
    <w:abstractNumId w:val="9"/>
    <w:lvlOverride w:ilvl="0">
      <w:startOverride w:val="1"/>
    </w:lvlOverride>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1A"/>
    <w:rsid w:val="00021121"/>
    <w:rsid w:val="000654D4"/>
    <w:rsid w:val="00095C43"/>
    <w:rsid w:val="000C4902"/>
    <w:rsid w:val="000E0779"/>
    <w:rsid w:val="00144716"/>
    <w:rsid w:val="001B2109"/>
    <w:rsid w:val="001E71B8"/>
    <w:rsid w:val="00210D45"/>
    <w:rsid w:val="00226A45"/>
    <w:rsid w:val="00291551"/>
    <w:rsid w:val="002B7B0C"/>
    <w:rsid w:val="002C50B2"/>
    <w:rsid w:val="00360A7F"/>
    <w:rsid w:val="003B4B52"/>
    <w:rsid w:val="003E1545"/>
    <w:rsid w:val="00492C1A"/>
    <w:rsid w:val="00572136"/>
    <w:rsid w:val="00575073"/>
    <w:rsid w:val="00583F71"/>
    <w:rsid w:val="005A48E0"/>
    <w:rsid w:val="005C2440"/>
    <w:rsid w:val="00652D22"/>
    <w:rsid w:val="00653E9B"/>
    <w:rsid w:val="006D27BA"/>
    <w:rsid w:val="006D664E"/>
    <w:rsid w:val="00747630"/>
    <w:rsid w:val="007E0FB7"/>
    <w:rsid w:val="00825B7C"/>
    <w:rsid w:val="00872F5C"/>
    <w:rsid w:val="009819A8"/>
    <w:rsid w:val="00AC4861"/>
    <w:rsid w:val="00B2766E"/>
    <w:rsid w:val="00B33DAA"/>
    <w:rsid w:val="00B973EF"/>
    <w:rsid w:val="00BE1AB1"/>
    <w:rsid w:val="00C05E9D"/>
    <w:rsid w:val="00C67FA4"/>
    <w:rsid w:val="00C91F57"/>
    <w:rsid w:val="00CA1B69"/>
    <w:rsid w:val="00CB6790"/>
    <w:rsid w:val="00CF65B8"/>
    <w:rsid w:val="00D01B67"/>
    <w:rsid w:val="00D04EA1"/>
    <w:rsid w:val="00D460A1"/>
    <w:rsid w:val="00D830B1"/>
    <w:rsid w:val="00D926F5"/>
    <w:rsid w:val="00DB30ED"/>
    <w:rsid w:val="00DE0A4C"/>
    <w:rsid w:val="00E12EE7"/>
    <w:rsid w:val="00E54549"/>
    <w:rsid w:val="00E742E2"/>
    <w:rsid w:val="00F26128"/>
    <w:rsid w:val="00FE7F6C"/>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BC02681-13FF-46F6-B331-4DC85B69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qFormat/>
    <w:pPr>
      <w:pageBreakBefore/>
      <w:spacing w:before="0" w:after="360" w:line="240" w:lineRule="auto"/>
      <w:ind w:left="-360" w:right="-360"/>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7E97AD" w:themeColor="accent1"/>
      <w:sz w:val="28"/>
    </w:rPr>
  </w:style>
  <w:style w:type="character" w:customStyle="1" w:styleId="QuoteChar">
    <w:name w:val="Quote Char"/>
    <w:basedOn w:val="DefaultParagraphFont"/>
    <w:link w:val="Quote"/>
    <w:uiPriority w:val="9"/>
    <w:rPr>
      <w:i/>
      <w:iCs/>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144" w:right="720"/>
    </w:pPr>
    <w:rPr>
      <w:rFonts w:asciiTheme="majorHAnsi" w:eastAsiaTheme="majorEastAsia" w:hAnsiTheme="majorHAnsi" w:cstheme="majorBidi"/>
      <w:caps/>
      <w:color w:val="7E97AD"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spacing w:val="40"/>
      <w:kern w:val="28"/>
      <w:sz w:val="136"/>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84653013">
      <w:bodyDiv w:val="1"/>
      <w:marLeft w:val="0"/>
      <w:marRight w:val="0"/>
      <w:marTop w:val="0"/>
      <w:marBottom w:val="0"/>
      <w:divBdr>
        <w:top w:val="none" w:sz="0" w:space="0" w:color="auto"/>
        <w:left w:val="none" w:sz="0" w:space="0" w:color="auto"/>
        <w:bottom w:val="none" w:sz="0" w:space="0" w:color="auto"/>
        <w:right w:val="none" w:sz="0" w:space="0" w:color="auto"/>
      </w:divBdr>
    </w:div>
    <w:div w:id="878399355">
      <w:bodyDiv w:val="1"/>
      <w:marLeft w:val="0"/>
      <w:marRight w:val="0"/>
      <w:marTop w:val="0"/>
      <w:marBottom w:val="0"/>
      <w:divBdr>
        <w:top w:val="none" w:sz="0" w:space="0" w:color="auto"/>
        <w:left w:val="none" w:sz="0" w:space="0" w:color="auto"/>
        <w:bottom w:val="none" w:sz="0" w:space="0" w:color="auto"/>
        <w:right w:val="none" w:sz="0" w:space="0" w:color="auto"/>
      </w:divBdr>
    </w:div>
    <w:div w:id="19371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image" Target="media/image1.emf"/>
  <Relationship Id="rId13" Type="http://schemas.openxmlformats.org/officeDocument/2006/relationships/image" Target="media/image2.emf"/>
  <Relationship Id="rId14" Type="http://schemas.openxmlformats.org/officeDocument/2006/relationships/image" Target="media/image3.emf"/>
  <Relationship Id="rId15" Type="http://schemas.openxmlformats.org/officeDocument/2006/relationships/image" Target="media/image4.emf"/>
  <Relationship Id="rId16" Type="http://schemas.openxmlformats.org/officeDocument/2006/relationships/image" Target="media/image5.emf"/>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kyi439/AppData/Roaming/Microsoft/Templates/Annual%20report%20(Timeless%20design).dotx"/>
</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overPageProperties xmlns="http://schemas.microsoft.com/office/2006/coverPageProps">
  <PublishDate>2014</PublishDate>
  <Abstract>Determining the value of the target (Starlight) and whether or not the purchase is possible through financing provided in part by Eastern Seaboard Bank.</Abstract>
  <CompanyAddress>kyi439</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32AB97DE-7C71-4533-96FA-5DADA06BFD0C}">
  <ds:schemaRefs>
    <ds:schemaRef ds:uri="http://schemas.microsoft.com/sharepoint/v3/contenttype/forms"/>
  </ds:schemaRefs>
</ds:datastoreItem>
</file>

<file path=customXml/itemProps4.xml><?xml version="1.0" encoding="utf-8"?>
<ds:datastoreItem xmlns:ds="http://schemas.openxmlformats.org/officeDocument/2006/customXml" ds:itemID="{C34FD00F-51FF-4E83-A451-F7E35261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1493</Words>
  <Characters>8513</Characters>
  <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Valuation report on the acquisition of Starlight</vt:lpstr>
    </vt:vector>
  </TitlesOfParts>
  <Company/>
  <LinksUpToDate>false</LinksUpToDate>
  <CharactersWithSpaces>9987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