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8y8lml7n9gvi" w:id="0"/>
      <w:bookmarkEnd w:id="0"/>
      <w:hyperlink r:id="rId5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Cori Berry</w:t>
        </w:r>
      </w:hyperlink>
    </w:p>
    <w:p w:rsidR="00000000" w:rsidDel="00000000" w:rsidP="00000000" w:rsidRDefault="00000000" w:rsidRPr="00000000">
      <w:pPr>
        <w:pBdr/>
        <w:spacing w:line="394.28571428571433" w:lineRule="auto"/>
        <w:ind w:left="4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MondayJun 12 at 6:31pm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Cowling’s Rule: A formula which converts an adult dose into a child’s dose using the child’s age.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The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 Formula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for A and B: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 = D(a +1)/24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 = Adult dosage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 = Child dosage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 = Childs 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chose #9 on the Cowling’s List: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</w:t>
        <w:tab/>
        <w:t xml:space="preserve">A.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This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Literal equation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is going to help me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solve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what dosage we would use for an 8-year-old child. A = 8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d = D(a + 1)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d = 400(8 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d = 400 *(9)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d = 3200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  <w:tab/>
        <w:t xml:space="preserve"> 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The answer comes to 0.1333 so the dose for the 8-year-old child would be 133mg.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</w:t>
        <w:tab/>
        <w:t xml:space="preserve">B.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Using the same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literal equation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d = D(a + 1)/ 24 I am going to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substitute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d =250mg and D = 500mg to find out what the child’s age would be for that dose.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250 =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500(a 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Now that I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substituted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both values the result is going to be a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conditional equation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, there is only one value for </w:t>
      </w:r>
      <w:r w:rsidDel="00000000" w:rsidR="00000000" w:rsidRPr="00000000">
        <w:rPr>
          <w:i w:val="1"/>
          <w:color w:val="2d3b45"/>
          <w:sz w:val="21"/>
          <w:szCs w:val="21"/>
          <w:rtl w:val="0"/>
        </w:rPr>
        <w:t xml:space="preserve">a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to make it true.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24 * 250 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500(a +1)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*24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  </w:t>
        <w:tab/>
        <w:t xml:space="preserve">        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  <w:tab/>
        <w:t xml:space="preserve">6000 = 500(a 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 6000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500 (a 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ab/>
        <w:t xml:space="preserve">500            500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ab/>
        <w:t xml:space="preserve">12 = a +1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ab/>
        <w:t xml:space="preserve">12 – 1 = a + 1 – 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ab/>
        <w:t xml:space="preserve">11 = a</w:t>
      </w:r>
    </w:p>
    <w:p w:rsidR="00000000" w:rsidDel="00000000" w:rsidP="00000000" w:rsidRDefault="00000000" w:rsidRPr="00000000">
      <w:pPr>
        <w:pBdr/>
        <w:spacing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So, 11 years old would be the correct dosage for 250mg.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users/32584"/>
  <Relationship Id="rId6" Type="http://schemas.openxmlformats.org/officeDocument/2006/relationships/hyperlink" TargetMode="External" Target="https://ashford.instructure.com/courses/3058/discussion_topics/73066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