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keepNext w:val="0"/>
        <w:keepLines w:val="0"/>
        <w:pBdr/>
        <w:spacing w:after="0" w:before="0" w:line="250.9090909090909" w:lineRule="auto"/>
        <w:ind w:left="460" w:firstLine="0"/>
        <w:contextualSpacing w:val="0"/>
        <w:rPr>
          <w:b w:val="1"/>
          <w:color w:val="8c2e6d"/>
          <w:sz w:val="33"/>
          <w:szCs w:val="33"/>
          <w:highlight w:val="white"/>
          <w:u w:val="single"/>
        </w:rPr>
      </w:pPr>
      <w:bookmarkStart w:colFirst="0" w:colLast="0" w:name="_64ubz4klcvgs" w:id="0"/>
      <w:bookmarkEnd w:id="0"/>
      <w:hyperlink r:id="rId5">
        <w:r w:rsidDel="00000000" w:rsidR="00000000" w:rsidRPr="00000000">
          <w:rPr>
            <w:b w:val="1"/>
            <w:color w:val="8c2e6d"/>
            <w:sz w:val="33"/>
            <w:szCs w:val="33"/>
            <w:highlight w:val="white"/>
            <w:u w:val="single"/>
            <w:rtl w:val="0"/>
          </w:rPr>
          <w:t xml:space="preserve">Jessica Carrier</w:t>
        </w:r>
      </w:hyperlink>
    </w:p>
    <w:p w:rsidR="00000000" w:rsidDel="00000000" w:rsidP="00000000" w:rsidRDefault="00000000" w:rsidRPr="00000000">
      <w:pPr>
        <w:pBdr/>
        <w:spacing w:line="394.28571428571433" w:lineRule="auto"/>
        <w:ind w:left="4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MondayJun 12 at 9:56am</w:t>
      </w:r>
    </w:p>
    <w:p w:rsidR="00000000" w:rsidDel="00000000" w:rsidP="00000000" w:rsidRDefault="00000000" w:rsidRPr="00000000">
      <w:pPr>
        <w:pBdr/>
        <w:ind w:left="160" w:firstLine="0"/>
        <w:contextualSpacing w:val="0"/>
        <w:rPr>
          <w:color w:val="8c2e6d"/>
          <w:sz w:val="21"/>
          <w:szCs w:val="21"/>
          <w:highlight w:val="white"/>
          <w:u w:val="single"/>
        </w:rPr>
      </w:pPr>
      <w:hyperlink r:id="rId6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Manage Discussion Entry</w:t>
        </w:r>
      </w:hyperlink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Jessica Carrier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MAT221: Introduction to Algebra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Gregory Dlabach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June 12, 2017       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Cowling’s Rule: a formula which converts an adult dose into a child’s dose using the child’s age.  The formula is d = 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D ( a + 1)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                                       </w:t>
        <w:tab/>
        <w:t xml:space="preserve">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 = adult dose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d= child’s dose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a= child’s age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 chose to complete number 14:</w:t>
      </w:r>
    </w:p>
    <w:tbl>
      <w:tblPr>
        <w:tblStyle w:val="Table1"/>
        <w:bidiVisual w:val="0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30"/>
        <w:gridCol w:w="4275"/>
        <w:tblGridChange w:id="0">
          <w:tblGrid>
            <w:gridCol w:w="4230"/>
            <w:gridCol w:w="4275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pBdr/>
              <w:spacing w:before="180" w:lineRule="auto"/>
              <w:ind w:left="80" w:firstLine="0"/>
              <w:contextualSpacing w:val="0"/>
              <w:rPr>
                <w:color w:val="2d3b45"/>
                <w:sz w:val="21"/>
                <w:szCs w:val="21"/>
              </w:rPr>
            </w:pPr>
            <w:r w:rsidDel="00000000" w:rsidR="00000000" w:rsidRPr="00000000">
              <w:rPr>
                <w:color w:val="2d3b45"/>
                <w:sz w:val="21"/>
                <w:szCs w:val="21"/>
                <w:rtl w:val="0"/>
              </w:rPr>
              <w:t xml:space="preserve">adult dose 400mg ibuprofen; 3 year old child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pBdr/>
              <w:spacing w:before="180" w:lineRule="auto"/>
              <w:ind w:left="80" w:firstLine="0"/>
              <w:contextualSpacing w:val="0"/>
              <w:rPr>
                <w:color w:val="2d3b45"/>
                <w:sz w:val="21"/>
                <w:szCs w:val="21"/>
              </w:rPr>
            </w:pPr>
            <w:r w:rsidDel="00000000" w:rsidR="00000000" w:rsidRPr="00000000">
              <w:rPr>
                <w:color w:val="2d3b45"/>
                <w:sz w:val="21"/>
                <w:szCs w:val="21"/>
                <w:rtl w:val="0"/>
              </w:rPr>
              <w:t xml:space="preserve">800mg adult, 200mg child</w:t>
            </w:r>
          </w:p>
        </w:tc>
      </w:tr>
    </w:tbl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 thought this one would serve me well beings my twins are 3 years old.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d=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400(3+1)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 </w:t>
        <w:tab/>
        <w:t xml:space="preserve">24                 </w:t>
        <w:tab/>
        <w:t xml:space="preserve">Parenthesis first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 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d= 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400(4)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</w:t>
        <w:tab/>
        <w:t xml:space="preserve">     24                       </w:t>
        <w:tab/>
        <w:t xml:space="preserve">Multiply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d=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1,600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                  </w:t>
        <w:tab/>
        <w:t xml:space="preserve">Divide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</w:t>
        <w:tab/>
        <w:t xml:space="preserve">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A 3 year old child would get 66.666… 67mg of ibuprofen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The second part of this formula: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  <w:u w:val="single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200= 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800mg(a+1)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 </w:t>
        <w:tab/>
        <w:t xml:space="preserve">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200(24)= 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800mg(a+1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)24   Divide all by 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            </w:t>
        <w:tab/>
        <w:t xml:space="preserve">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4800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= </w:t>
      </w:r>
      <w:r w:rsidDel="00000000" w:rsidR="00000000" w:rsidRPr="00000000">
        <w:rPr>
          <w:color w:val="2d3b45"/>
          <w:sz w:val="21"/>
          <w:szCs w:val="21"/>
          <w:u w:val="single"/>
          <w:rtl w:val="0"/>
        </w:rPr>
        <w:t xml:space="preserve">19200(a+1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)   Divide both sides by 19,200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19200 19200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.25=a+1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.25 -1= a+1-1              Simplify and subtract 1-1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a+.25-1                    </w:t>
        <w:tab/>
        <w:t xml:space="preserve">Subtract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a= -.75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 was lost from dividing both sides by 19200. Don’t think my answer should be in the negative.</w:t>
      </w:r>
    </w:p>
    <w:p w:rsidR="00000000" w:rsidDel="00000000" w:rsidP="00000000" w:rsidRDefault="00000000" w:rsidRPr="00000000">
      <w:pPr>
        <w:pBdr/>
        <w:spacing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hyperlink" TargetMode="External" Target="https://ashford.instructure.com/courses/3058/users/32444"/>
  <Relationship Id="rId6" Type="http://schemas.openxmlformats.org/officeDocument/2006/relationships/hyperlink" TargetMode="External" Target="https://ashford.instructure.com/courses/3058/discussion_topics/73066#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