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06C51" w14:textId="77777777" w:rsidR="0004118C" w:rsidRPr="0020659D" w:rsidRDefault="0004118C" w:rsidP="0020659D">
      <w:pPr>
        <w:spacing w:after="0" w:line="480" w:lineRule="auto"/>
        <w:jc w:val="center"/>
        <w:rPr>
          <w:rFonts w:ascii="Times New Roman" w:hAnsi="Times New Roman" w:cs="Times New Roman"/>
          <w:sz w:val="24"/>
          <w:szCs w:val="24"/>
        </w:rPr>
      </w:pPr>
    </w:p>
    <w:p w14:paraId="7698373D" w14:textId="77777777" w:rsidR="0004118C" w:rsidRPr="0020659D" w:rsidRDefault="0004118C" w:rsidP="0020659D">
      <w:pPr>
        <w:spacing w:after="0" w:line="480" w:lineRule="auto"/>
        <w:jc w:val="center"/>
        <w:rPr>
          <w:rFonts w:ascii="Times New Roman" w:hAnsi="Times New Roman" w:cs="Times New Roman"/>
          <w:sz w:val="24"/>
          <w:szCs w:val="24"/>
        </w:rPr>
      </w:pPr>
    </w:p>
    <w:p w14:paraId="488C1ADE" w14:textId="77777777" w:rsidR="0004118C" w:rsidRPr="0020659D" w:rsidRDefault="0004118C" w:rsidP="0020659D">
      <w:pPr>
        <w:spacing w:after="0" w:line="480" w:lineRule="auto"/>
        <w:jc w:val="center"/>
        <w:rPr>
          <w:rFonts w:ascii="Times New Roman" w:hAnsi="Times New Roman" w:cs="Times New Roman"/>
          <w:sz w:val="24"/>
          <w:szCs w:val="24"/>
        </w:rPr>
      </w:pPr>
    </w:p>
    <w:p w14:paraId="41EF8C4B" w14:textId="77777777" w:rsidR="0004118C" w:rsidRPr="0020659D" w:rsidRDefault="0004118C" w:rsidP="0020659D">
      <w:pPr>
        <w:spacing w:after="0" w:line="480" w:lineRule="auto"/>
        <w:jc w:val="center"/>
        <w:rPr>
          <w:rFonts w:ascii="Times New Roman" w:hAnsi="Times New Roman" w:cs="Times New Roman"/>
          <w:sz w:val="24"/>
          <w:szCs w:val="24"/>
        </w:rPr>
      </w:pPr>
    </w:p>
    <w:p w14:paraId="1DE5E454" w14:textId="77777777" w:rsidR="0004118C" w:rsidRPr="0020659D" w:rsidRDefault="0004118C" w:rsidP="0020659D">
      <w:pPr>
        <w:spacing w:after="0" w:line="480" w:lineRule="auto"/>
        <w:jc w:val="center"/>
        <w:rPr>
          <w:rFonts w:ascii="Times New Roman" w:hAnsi="Times New Roman" w:cs="Times New Roman"/>
          <w:sz w:val="24"/>
          <w:szCs w:val="24"/>
        </w:rPr>
      </w:pPr>
    </w:p>
    <w:p w14:paraId="17751E25" w14:textId="77777777" w:rsidR="0004118C" w:rsidRPr="0020659D" w:rsidRDefault="0004118C" w:rsidP="0020659D">
      <w:pPr>
        <w:spacing w:after="0" w:line="480" w:lineRule="auto"/>
        <w:jc w:val="center"/>
        <w:rPr>
          <w:rFonts w:ascii="Times New Roman" w:hAnsi="Times New Roman" w:cs="Times New Roman"/>
          <w:sz w:val="24"/>
          <w:szCs w:val="24"/>
        </w:rPr>
      </w:pPr>
    </w:p>
    <w:p w14:paraId="03122AB1" w14:textId="77777777" w:rsidR="0004118C" w:rsidRPr="0020659D" w:rsidRDefault="0004118C" w:rsidP="0020659D">
      <w:pPr>
        <w:spacing w:after="0" w:line="480" w:lineRule="auto"/>
        <w:jc w:val="center"/>
        <w:rPr>
          <w:rFonts w:ascii="Times New Roman" w:hAnsi="Times New Roman" w:cs="Times New Roman"/>
          <w:sz w:val="24"/>
          <w:szCs w:val="24"/>
        </w:rPr>
      </w:pPr>
    </w:p>
    <w:p w14:paraId="6AFC7315" w14:textId="77777777" w:rsidR="0004118C" w:rsidRPr="0020659D" w:rsidRDefault="0004118C" w:rsidP="0020659D">
      <w:pPr>
        <w:spacing w:after="0" w:line="480" w:lineRule="auto"/>
        <w:jc w:val="center"/>
        <w:rPr>
          <w:rFonts w:ascii="Times New Roman" w:hAnsi="Times New Roman" w:cs="Times New Roman"/>
          <w:sz w:val="24"/>
          <w:szCs w:val="24"/>
        </w:rPr>
      </w:pPr>
    </w:p>
    <w:p w14:paraId="71D7E1F7" w14:textId="77777777" w:rsidR="0004118C" w:rsidRPr="0020659D" w:rsidRDefault="0004118C" w:rsidP="0020659D">
      <w:pPr>
        <w:spacing w:after="0" w:line="480" w:lineRule="auto"/>
        <w:jc w:val="center"/>
        <w:rPr>
          <w:rFonts w:ascii="Times New Roman" w:hAnsi="Times New Roman" w:cs="Times New Roman"/>
          <w:sz w:val="24"/>
          <w:szCs w:val="24"/>
        </w:rPr>
      </w:pPr>
    </w:p>
    <w:p w14:paraId="0204C2E3" w14:textId="77777777" w:rsidR="0004118C" w:rsidRPr="0020659D" w:rsidRDefault="0004118C" w:rsidP="0020659D">
      <w:pPr>
        <w:spacing w:after="0" w:line="480" w:lineRule="auto"/>
        <w:jc w:val="center"/>
        <w:rPr>
          <w:rFonts w:ascii="Times New Roman" w:hAnsi="Times New Roman" w:cs="Times New Roman"/>
          <w:sz w:val="24"/>
          <w:szCs w:val="24"/>
        </w:rPr>
      </w:pPr>
    </w:p>
    <w:p w14:paraId="0BB51F36" w14:textId="77777777" w:rsidR="0004118C" w:rsidRPr="0020659D" w:rsidRDefault="0004118C" w:rsidP="0020659D">
      <w:pPr>
        <w:spacing w:after="0" w:line="480" w:lineRule="auto"/>
        <w:jc w:val="center"/>
        <w:rPr>
          <w:rFonts w:ascii="Times New Roman" w:hAnsi="Times New Roman" w:cs="Times New Roman"/>
          <w:sz w:val="24"/>
          <w:szCs w:val="24"/>
        </w:rPr>
      </w:pPr>
    </w:p>
    <w:p w14:paraId="3E7B1C8F" w14:textId="77777777" w:rsidR="0004118C" w:rsidRPr="0020659D" w:rsidRDefault="00D93D04" w:rsidP="0020659D">
      <w:pPr>
        <w:spacing w:after="0" w:line="480" w:lineRule="auto"/>
        <w:jc w:val="center"/>
        <w:rPr>
          <w:rFonts w:ascii="Times New Roman" w:hAnsi="Times New Roman" w:cs="Times New Roman"/>
          <w:sz w:val="24"/>
          <w:szCs w:val="24"/>
        </w:rPr>
      </w:pPr>
      <w:bookmarkStart w:id="0" w:name="_Hlk483776026"/>
      <w:bookmarkEnd w:id="0"/>
      <w:r w:rsidRPr="0020659D">
        <w:rPr>
          <w:rFonts w:ascii="Times New Roman" w:hAnsi="Times New Roman" w:cs="Times New Roman"/>
          <w:sz w:val="24"/>
          <w:szCs w:val="24"/>
        </w:rPr>
        <w:t>NCFR Substance Areas 1-5</w:t>
      </w:r>
    </w:p>
    <w:p w14:paraId="14035E6D" w14:textId="77777777" w:rsidR="0004118C" w:rsidRPr="0020659D" w:rsidRDefault="00D93D04" w:rsidP="0020659D">
      <w:pPr>
        <w:spacing w:after="0" w:line="480" w:lineRule="auto"/>
        <w:jc w:val="center"/>
        <w:rPr>
          <w:rFonts w:ascii="Times New Roman" w:hAnsi="Times New Roman" w:cs="Times New Roman"/>
          <w:sz w:val="24"/>
          <w:szCs w:val="24"/>
        </w:rPr>
      </w:pPr>
      <w:r w:rsidRPr="0020659D">
        <w:rPr>
          <w:rFonts w:ascii="Times New Roman" w:hAnsi="Times New Roman" w:cs="Times New Roman"/>
          <w:sz w:val="24"/>
          <w:szCs w:val="24"/>
          <w:shd w:val="clear" w:color="auto" w:fill="FFFFFF"/>
        </w:rPr>
        <w:t>Name</w:t>
      </w:r>
    </w:p>
    <w:p w14:paraId="604A46E6" w14:textId="77777777" w:rsidR="0004118C" w:rsidRPr="0020659D" w:rsidRDefault="00D93D04" w:rsidP="0020659D">
      <w:pPr>
        <w:spacing w:after="0" w:line="480" w:lineRule="auto"/>
        <w:jc w:val="center"/>
        <w:rPr>
          <w:rFonts w:ascii="Times New Roman" w:hAnsi="Times New Roman" w:cs="Times New Roman"/>
          <w:sz w:val="24"/>
          <w:szCs w:val="24"/>
        </w:rPr>
      </w:pPr>
      <w:r w:rsidRPr="0020659D">
        <w:rPr>
          <w:rFonts w:ascii="Times New Roman" w:hAnsi="Times New Roman" w:cs="Times New Roman"/>
          <w:sz w:val="24"/>
          <w:szCs w:val="24"/>
          <w:shd w:val="clear" w:color="auto" w:fill="FFFFFF"/>
        </w:rPr>
        <w:t xml:space="preserve">Professor: </w:t>
      </w:r>
    </w:p>
    <w:p w14:paraId="1C8ED473" w14:textId="77777777" w:rsidR="0004118C" w:rsidRPr="0020659D" w:rsidRDefault="00D93D04" w:rsidP="0020659D">
      <w:pPr>
        <w:spacing w:after="0" w:line="480" w:lineRule="auto"/>
        <w:jc w:val="center"/>
        <w:rPr>
          <w:rFonts w:ascii="Times New Roman" w:hAnsi="Times New Roman" w:cs="Times New Roman"/>
          <w:sz w:val="24"/>
          <w:szCs w:val="24"/>
        </w:rPr>
      </w:pPr>
      <w:r w:rsidRPr="0020659D">
        <w:rPr>
          <w:rFonts w:ascii="Times New Roman" w:hAnsi="Times New Roman" w:cs="Times New Roman"/>
          <w:sz w:val="24"/>
          <w:szCs w:val="24"/>
          <w:shd w:val="clear" w:color="auto" w:fill="FFFFFF"/>
        </w:rPr>
        <w:t xml:space="preserve"> </w:t>
      </w:r>
    </w:p>
    <w:p w14:paraId="2E791306" w14:textId="77777777" w:rsidR="0004118C" w:rsidRPr="0020659D" w:rsidRDefault="00D93D04" w:rsidP="0020659D">
      <w:pPr>
        <w:spacing w:after="0" w:line="480" w:lineRule="auto"/>
        <w:jc w:val="center"/>
        <w:rPr>
          <w:rFonts w:ascii="Times New Roman" w:hAnsi="Times New Roman" w:cs="Times New Roman"/>
          <w:sz w:val="24"/>
          <w:szCs w:val="24"/>
          <w:highlight w:val="white"/>
        </w:rPr>
      </w:pPr>
      <w:r w:rsidRPr="0020659D">
        <w:rPr>
          <w:rFonts w:ascii="Times New Roman" w:hAnsi="Times New Roman" w:cs="Times New Roman"/>
          <w:sz w:val="24"/>
          <w:szCs w:val="24"/>
          <w:shd w:val="clear" w:color="auto" w:fill="FFFFFF"/>
        </w:rPr>
        <w:t>28 May 2017</w:t>
      </w:r>
    </w:p>
    <w:p w14:paraId="75DB9F73" w14:textId="7955337C" w:rsidR="0004118C" w:rsidRPr="0020659D" w:rsidRDefault="00D93D04" w:rsidP="0020659D">
      <w:pPr>
        <w:spacing w:after="0" w:line="480" w:lineRule="auto"/>
        <w:jc w:val="center"/>
        <w:rPr>
          <w:rFonts w:ascii="Times New Roman" w:hAnsi="Times New Roman" w:cs="Times New Roman"/>
          <w:sz w:val="24"/>
          <w:szCs w:val="24"/>
        </w:rPr>
      </w:pPr>
      <w:r w:rsidRPr="0020659D">
        <w:rPr>
          <w:rFonts w:ascii="Times New Roman" w:hAnsi="Times New Roman" w:cs="Times New Roman"/>
          <w:sz w:val="24"/>
          <w:szCs w:val="24"/>
          <w:shd w:val="clear" w:color="auto" w:fill="FFFFFF"/>
        </w:rPr>
        <w:t xml:space="preserve"> </w:t>
      </w:r>
    </w:p>
    <w:p w14:paraId="0580E98E" w14:textId="77777777" w:rsidR="0004118C" w:rsidRPr="0020659D" w:rsidRDefault="0004118C" w:rsidP="0020659D">
      <w:pPr>
        <w:tabs>
          <w:tab w:val="left" w:pos="2550"/>
        </w:tabs>
        <w:spacing w:line="480" w:lineRule="auto"/>
        <w:rPr>
          <w:rFonts w:ascii="Times New Roman" w:hAnsi="Times New Roman" w:cs="Times New Roman"/>
          <w:sz w:val="24"/>
          <w:szCs w:val="24"/>
          <w:lang w:val="en-US"/>
        </w:rPr>
      </w:pPr>
    </w:p>
    <w:p w14:paraId="3D8C99EB" w14:textId="77777777" w:rsidR="0004118C" w:rsidRPr="0020659D" w:rsidRDefault="0004118C" w:rsidP="0020659D">
      <w:pPr>
        <w:tabs>
          <w:tab w:val="left" w:pos="2550"/>
        </w:tabs>
        <w:spacing w:line="480" w:lineRule="auto"/>
        <w:rPr>
          <w:rFonts w:ascii="Times New Roman" w:hAnsi="Times New Roman" w:cs="Times New Roman"/>
          <w:sz w:val="24"/>
          <w:szCs w:val="24"/>
          <w:lang w:val="en-US"/>
        </w:rPr>
      </w:pPr>
      <w:bookmarkStart w:id="1" w:name="_GoBack"/>
      <w:bookmarkEnd w:id="1"/>
    </w:p>
    <w:p w14:paraId="55F9A217" w14:textId="77777777" w:rsidR="0004118C" w:rsidRPr="0020659D" w:rsidRDefault="0004118C" w:rsidP="0020659D">
      <w:pPr>
        <w:tabs>
          <w:tab w:val="left" w:pos="2550"/>
        </w:tabs>
        <w:spacing w:line="480" w:lineRule="auto"/>
        <w:rPr>
          <w:rFonts w:ascii="Times New Roman" w:hAnsi="Times New Roman" w:cs="Times New Roman"/>
          <w:sz w:val="24"/>
          <w:szCs w:val="24"/>
          <w:lang w:val="en-US"/>
        </w:rPr>
      </w:pPr>
    </w:p>
    <w:p w14:paraId="64CC1E66" w14:textId="77777777" w:rsidR="0004118C" w:rsidRPr="0020659D" w:rsidRDefault="0004118C" w:rsidP="0020659D">
      <w:pPr>
        <w:tabs>
          <w:tab w:val="left" w:pos="2550"/>
        </w:tabs>
        <w:spacing w:line="480" w:lineRule="auto"/>
        <w:rPr>
          <w:rFonts w:ascii="Times New Roman" w:hAnsi="Times New Roman" w:cs="Times New Roman"/>
          <w:sz w:val="24"/>
          <w:szCs w:val="24"/>
          <w:lang w:val="en-US"/>
        </w:rPr>
      </w:pPr>
    </w:p>
    <w:p w14:paraId="05B72B4A" w14:textId="77777777" w:rsidR="0004118C" w:rsidRPr="0020659D" w:rsidRDefault="0004118C" w:rsidP="0020659D">
      <w:pPr>
        <w:tabs>
          <w:tab w:val="left" w:pos="2550"/>
        </w:tabs>
        <w:spacing w:line="480" w:lineRule="auto"/>
        <w:rPr>
          <w:rFonts w:ascii="Times New Roman" w:hAnsi="Times New Roman" w:cs="Times New Roman"/>
          <w:sz w:val="24"/>
          <w:szCs w:val="24"/>
          <w:lang w:val="en-US"/>
        </w:rPr>
      </w:pPr>
    </w:p>
    <w:p w14:paraId="5F046F80" w14:textId="77777777" w:rsidR="0004118C" w:rsidRPr="0020659D" w:rsidRDefault="0004118C" w:rsidP="0020659D">
      <w:pPr>
        <w:tabs>
          <w:tab w:val="left" w:pos="2550"/>
        </w:tabs>
        <w:spacing w:line="480" w:lineRule="auto"/>
        <w:rPr>
          <w:rFonts w:ascii="Times New Roman" w:hAnsi="Times New Roman" w:cs="Times New Roman"/>
          <w:sz w:val="24"/>
          <w:szCs w:val="24"/>
          <w:lang w:val="en-US"/>
        </w:rPr>
      </w:pPr>
    </w:p>
    <w:p w14:paraId="4836757D" w14:textId="77777777" w:rsidR="0004118C" w:rsidRPr="0020659D" w:rsidRDefault="00D93D04" w:rsidP="0020659D">
      <w:pPr>
        <w:pStyle w:val="Heading1"/>
        <w:spacing w:line="480" w:lineRule="auto"/>
        <w:rPr>
          <w:rFonts w:cs="Times New Roman"/>
          <w:szCs w:val="24"/>
          <w:lang w:val="en-US"/>
        </w:rPr>
      </w:pPr>
      <w:r w:rsidRPr="0020659D">
        <w:rPr>
          <w:rFonts w:cs="Times New Roman"/>
          <w:szCs w:val="24"/>
          <w:lang w:val="en-US"/>
        </w:rPr>
        <w:lastRenderedPageBreak/>
        <w:t>Substance Area 1: FAMILIES IN SOCIETY</w:t>
      </w:r>
      <w:r w:rsidRPr="0020659D">
        <w:rPr>
          <w:rFonts w:cs="Times New Roman"/>
          <w:szCs w:val="24"/>
          <w:lang w:val="en-US"/>
        </w:rPr>
        <w:tab/>
      </w:r>
    </w:p>
    <w:p w14:paraId="6C461D24" w14:textId="77777777" w:rsidR="0004118C" w:rsidRPr="0020659D" w:rsidRDefault="00D93D04" w:rsidP="0020659D">
      <w:pPr>
        <w:pStyle w:val="Heading2"/>
        <w:spacing w:line="480" w:lineRule="auto"/>
        <w:rPr>
          <w:rFonts w:cs="Times New Roman"/>
          <w:szCs w:val="24"/>
          <w:lang w:val="en-US"/>
        </w:rPr>
      </w:pPr>
      <w:r w:rsidRPr="0020659D">
        <w:rPr>
          <w:rFonts w:cs="Times New Roman"/>
          <w:szCs w:val="24"/>
          <w:lang w:val="en-US"/>
        </w:rPr>
        <w:t>Res</w:t>
      </w:r>
      <w:r w:rsidR="00E353C8" w:rsidRPr="0020659D">
        <w:rPr>
          <w:rFonts w:cs="Times New Roman"/>
          <w:szCs w:val="24"/>
          <w:lang w:val="en-US"/>
        </w:rPr>
        <w:t>earch Article 1: Framing the Ideal Woman in Esquire’s ‘Women we Love,’ 1987-2006</w:t>
      </w:r>
    </w:p>
    <w:p w14:paraId="58D8DB06" w14:textId="77777777" w:rsidR="0004118C" w:rsidRPr="0020659D" w:rsidRDefault="00E353C8" w:rsidP="0020659D">
      <w:pPr>
        <w:spacing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ab/>
        <w:t xml:space="preserve">In this content analysis, Sheehy and Ji, (2011) how women are framed by the media as well as the social representation of women in society. The researchers take a longitudinal approach whereby they analyze the trends between 1987 and 2006. Particularly, the authors use Esquire Magazine’s regular feature “Women we Love.” According to the authors, there are noticeable occupational as well as image frames that are rampant in the feature (Sheehy </w:t>
      </w:r>
      <w:r w:rsidR="00807AD5" w:rsidRPr="0020659D">
        <w:rPr>
          <w:rFonts w:ascii="Times New Roman" w:hAnsi="Times New Roman" w:cs="Times New Roman"/>
          <w:sz w:val="24"/>
          <w:szCs w:val="24"/>
          <w:lang w:val="en-US"/>
        </w:rPr>
        <w:t>&amp;</w:t>
      </w:r>
      <w:r w:rsidRPr="0020659D">
        <w:rPr>
          <w:rFonts w:ascii="Times New Roman" w:hAnsi="Times New Roman" w:cs="Times New Roman"/>
          <w:sz w:val="24"/>
          <w:szCs w:val="24"/>
          <w:lang w:val="en-US"/>
        </w:rPr>
        <w:t xml:space="preserve"> Ji, 2011). However, this occupational and image frames change over time whereby compared to a past where women were mainly fixed in known</w:t>
      </w:r>
      <w:r w:rsidR="00807AD5" w:rsidRPr="0020659D">
        <w:rPr>
          <w:rFonts w:ascii="Times New Roman" w:hAnsi="Times New Roman" w:cs="Times New Roman"/>
          <w:sz w:val="24"/>
          <w:szCs w:val="24"/>
          <w:lang w:val="en-US"/>
        </w:rPr>
        <w:t xml:space="preserve"> social territories, with time, occupation became more diverse as women began embracing </w:t>
      </w:r>
      <w:r w:rsidR="005B78CC" w:rsidRPr="0020659D">
        <w:rPr>
          <w:rFonts w:ascii="Times New Roman" w:hAnsi="Times New Roman" w:cs="Times New Roman"/>
          <w:sz w:val="24"/>
          <w:szCs w:val="24"/>
          <w:lang w:val="en-US"/>
        </w:rPr>
        <w:t xml:space="preserve">new occupations </w:t>
      </w:r>
      <w:r w:rsidR="00807AD5" w:rsidRPr="0020659D">
        <w:rPr>
          <w:rFonts w:ascii="Times New Roman" w:hAnsi="Times New Roman" w:cs="Times New Roman"/>
          <w:sz w:val="24"/>
          <w:szCs w:val="24"/>
          <w:lang w:val="en-US"/>
        </w:rPr>
        <w:t>(Sheehy &amp; Ji, 2011)</w:t>
      </w:r>
      <w:r w:rsidR="005B78CC" w:rsidRPr="0020659D">
        <w:rPr>
          <w:rFonts w:ascii="Times New Roman" w:hAnsi="Times New Roman" w:cs="Times New Roman"/>
          <w:sz w:val="24"/>
          <w:szCs w:val="24"/>
          <w:lang w:val="en-US"/>
        </w:rPr>
        <w:t xml:space="preserve">. The major parties that played the central role in developing these occupational and image frames were Esquire Magazine’s editors and political figures with different ideologies ranging from conservatism, liberalism, and moderate. </w:t>
      </w:r>
    </w:p>
    <w:p w14:paraId="12575338" w14:textId="77777777" w:rsidR="0004118C" w:rsidRPr="0020659D" w:rsidRDefault="005B78CC"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My main critique of this article is that it firstly divides the periods of development of women’s occupational and image frames into two – 1960-1987, 1987-2006. This therefore allows it to focus on two distinct eras in women history. The authors also focus the research questions on the particular variables that are centers on the research issue – women frames and images in the United States and politics. The study also derives its different occupational categories from previous research invented by Courtney and Lockeretz and updated by Cooper-chen and Cho. </w:t>
      </w:r>
      <w:r w:rsidR="00094A07" w:rsidRPr="0020659D">
        <w:rPr>
          <w:rFonts w:ascii="Times New Roman" w:hAnsi="Times New Roman" w:cs="Times New Roman"/>
          <w:sz w:val="24"/>
          <w:szCs w:val="24"/>
          <w:lang w:val="en-US"/>
        </w:rPr>
        <w:t xml:space="preserve">Content analysis is particularly effective in analyzing studies about women owing to the fact that it allows one to establish trends and thus sum up a conclusive report that covers all identified themes. </w:t>
      </w:r>
    </w:p>
    <w:p w14:paraId="3B203D3F" w14:textId="37B8804C" w:rsidR="0004118C" w:rsidRPr="0020659D" w:rsidRDefault="00B6279A" w:rsidP="0020659D">
      <w:pPr>
        <w:pStyle w:val="Heading2"/>
        <w:spacing w:line="480" w:lineRule="auto"/>
        <w:rPr>
          <w:rFonts w:cs="Times New Roman"/>
          <w:szCs w:val="24"/>
          <w:lang w:val="en-US"/>
        </w:rPr>
      </w:pPr>
      <w:r w:rsidRPr="0020659D">
        <w:rPr>
          <w:rFonts w:cs="Times New Roman"/>
          <w:szCs w:val="24"/>
          <w:lang w:val="en-US"/>
        </w:rPr>
        <w:lastRenderedPageBreak/>
        <w:t>From Syphilitic to Suffragist: The Woman’s Journal and the Negotiation of Walt Whitman’s Celebrity</w:t>
      </w:r>
    </w:p>
    <w:p w14:paraId="5EDA72AD" w14:textId="0E3E7535" w:rsidR="0004118C" w:rsidRPr="0020659D" w:rsidRDefault="00D93D04" w:rsidP="0020659D">
      <w:pPr>
        <w:pStyle w:val="Heading2"/>
        <w:spacing w:line="480" w:lineRule="auto"/>
        <w:rPr>
          <w:rFonts w:cs="Times New Roman"/>
          <w:b w:val="0"/>
          <w:szCs w:val="24"/>
          <w:lang w:val="en-US"/>
        </w:rPr>
      </w:pPr>
      <w:r w:rsidRPr="0020659D">
        <w:rPr>
          <w:rFonts w:cs="Times New Roman"/>
          <w:szCs w:val="24"/>
          <w:lang w:val="en-US"/>
        </w:rPr>
        <w:t xml:space="preserve"> </w:t>
      </w:r>
      <w:r w:rsidR="00C25DE0" w:rsidRPr="0020659D">
        <w:rPr>
          <w:rFonts w:cs="Times New Roman"/>
          <w:szCs w:val="24"/>
          <w:lang w:val="en-US"/>
        </w:rPr>
        <w:tab/>
      </w:r>
      <w:r w:rsidR="00C25DE0" w:rsidRPr="0020659D">
        <w:rPr>
          <w:rFonts w:cs="Times New Roman"/>
          <w:b w:val="0"/>
          <w:szCs w:val="24"/>
          <w:lang w:val="en-US"/>
        </w:rPr>
        <w:t>In this article, Richardson, (2010) contends that whether or not modern day feminist critics who had used poetry to conceptualize new possibilities for women’s increased role in society, particularly in civic affairs, agree on Whitman’s gender representations, evidence shows that Whitman actively advocated for votes for women. However, such consensus was not unanimous from the start but developed through several stages. For a very long time according to Richardson, (2010)</w:t>
      </w:r>
      <w:r w:rsidR="000B5154" w:rsidRPr="0020659D">
        <w:rPr>
          <w:rFonts w:cs="Times New Roman"/>
          <w:b w:val="0"/>
          <w:szCs w:val="24"/>
          <w:lang w:val="en-US"/>
        </w:rPr>
        <w:t xml:space="preserve"> feminist critics were of the view that Whitman’s unblinking gender and sexual representations did little to gain the support of the middle class from the northeast. After Whiteman published Gems from Walt Whitman, however, this began to change as critics began to perceive the possibility of how the works were supportive of the suffragist course. The following period saw Whitman transform into the central figure and a poetic persona of democracy. </w:t>
      </w:r>
    </w:p>
    <w:p w14:paraId="08B5F173" w14:textId="6E177859" w:rsidR="0004118C" w:rsidRPr="0020659D" w:rsidRDefault="000B5154" w:rsidP="0020659D">
      <w:pPr>
        <w:pStyle w:val="Heading3"/>
        <w:spacing w:line="480" w:lineRule="auto"/>
        <w:ind w:firstLine="720"/>
        <w:rPr>
          <w:rFonts w:ascii="Times New Roman" w:hAnsi="Times New Roman" w:cs="Times New Roman"/>
          <w:color w:val="auto"/>
          <w:lang w:val="en-US"/>
        </w:rPr>
      </w:pPr>
      <w:r w:rsidRPr="0020659D">
        <w:rPr>
          <w:rFonts w:ascii="Times New Roman" w:hAnsi="Times New Roman" w:cs="Times New Roman"/>
          <w:color w:val="auto"/>
          <w:lang w:val="en-US"/>
        </w:rPr>
        <w:t xml:space="preserve">My critique of this article is that it uses themes from a poet’s representation of women, which in essence lends credible insight into the study of changing roles of women in society because of its unique invocation of art. </w:t>
      </w:r>
      <w:r w:rsidR="00E41979" w:rsidRPr="0020659D">
        <w:rPr>
          <w:rFonts w:ascii="Times New Roman" w:hAnsi="Times New Roman" w:cs="Times New Roman"/>
          <w:color w:val="auto"/>
          <w:lang w:val="en-US"/>
        </w:rPr>
        <w:t xml:space="preserve">The article looks at how initially, an advocate of women’s rights including suffrage rights, was perceived as a villain that opposed their increased role in society, before this feminist critics’ perception changed to see Whitman as an advocate of women’s rights. The descriptive approach is particularly successful in noting the changes portrayed through art and through the various </w:t>
      </w:r>
      <w:r w:rsidR="006D5368" w:rsidRPr="0020659D">
        <w:rPr>
          <w:rFonts w:ascii="Times New Roman" w:hAnsi="Times New Roman" w:cs="Times New Roman"/>
          <w:color w:val="auto"/>
          <w:lang w:val="en-US"/>
        </w:rPr>
        <w:t xml:space="preserve">issues of the </w:t>
      </w:r>
      <w:r w:rsidR="006D5368" w:rsidRPr="0020659D">
        <w:rPr>
          <w:rFonts w:ascii="Times New Roman" w:hAnsi="Times New Roman" w:cs="Times New Roman"/>
          <w:i/>
          <w:color w:val="auto"/>
          <w:lang w:val="en-US"/>
        </w:rPr>
        <w:t xml:space="preserve">Women’s Magazine. </w:t>
      </w:r>
      <w:r w:rsidR="00E41979" w:rsidRPr="0020659D">
        <w:rPr>
          <w:rFonts w:ascii="Times New Roman" w:hAnsi="Times New Roman" w:cs="Times New Roman"/>
          <w:color w:val="auto"/>
          <w:lang w:val="en-US"/>
        </w:rPr>
        <w:t xml:space="preserve"> </w:t>
      </w:r>
    </w:p>
    <w:p w14:paraId="46FC6B78" w14:textId="1BD38BEF" w:rsidR="0004118C" w:rsidRPr="0020659D" w:rsidRDefault="00D93D04" w:rsidP="0020659D">
      <w:pPr>
        <w:pStyle w:val="Heading2"/>
        <w:spacing w:line="480" w:lineRule="auto"/>
        <w:rPr>
          <w:rFonts w:cs="Times New Roman"/>
          <w:szCs w:val="24"/>
          <w:lang w:val="en-US"/>
        </w:rPr>
      </w:pPr>
      <w:r w:rsidRPr="0020659D">
        <w:rPr>
          <w:rFonts w:cs="Times New Roman"/>
          <w:szCs w:val="24"/>
          <w:lang w:val="en-US"/>
        </w:rPr>
        <w:t xml:space="preserve">Research Article 3: </w:t>
      </w:r>
      <w:r w:rsidR="00816A86" w:rsidRPr="0020659D">
        <w:rPr>
          <w:rFonts w:cs="Times New Roman"/>
          <w:szCs w:val="24"/>
          <w:lang w:val="en-US"/>
        </w:rPr>
        <w:t xml:space="preserve">Changing Ideals of Womanhood During the Nineteenth Century Women Movement </w:t>
      </w:r>
    </w:p>
    <w:p w14:paraId="6EBC07F7" w14:textId="607B9DBC" w:rsidR="00816A86" w:rsidRPr="0020659D" w:rsidRDefault="00816A86" w:rsidP="0020659D">
      <w:pPr>
        <w:spacing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ab/>
        <w:t>In this article, Cruea (2005) notes that irrespective of the issues presented by the new Woman, the 19</w:t>
      </w:r>
      <w:r w:rsidRPr="0020659D">
        <w:rPr>
          <w:rFonts w:ascii="Times New Roman" w:hAnsi="Times New Roman" w:cs="Times New Roman"/>
          <w:sz w:val="24"/>
          <w:szCs w:val="24"/>
          <w:vertAlign w:val="superscript"/>
          <w:lang w:val="en-US"/>
        </w:rPr>
        <w:t>th</w:t>
      </w:r>
      <w:r w:rsidRPr="0020659D">
        <w:rPr>
          <w:rFonts w:ascii="Times New Roman" w:hAnsi="Times New Roman" w:cs="Times New Roman"/>
          <w:sz w:val="24"/>
          <w:szCs w:val="24"/>
          <w:lang w:val="en-US"/>
        </w:rPr>
        <w:t xml:space="preserve"> century was a particularly fruitful period for women. Such is the case that the four phases that overlap throughout the century transformed women from domestic </w:t>
      </w:r>
      <w:r w:rsidRPr="0020659D">
        <w:rPr>
          <w:rFonts w:ascii="Times New Roman" w:hAnsi="Times New Roman" w:cs="Times New Roman"/>
          <w:sz w:val="24"/>
          <w:szCs w:val="24"/>
          <w:lang w:val="en-US"/>
        </w:rPr>
        <w:lastRenderedPageBreak/>
        <w:t xml:space="preserve">servants, to significant community members in less than 100 years (Cruea, 2005). Such is the case that society replaced the exploitative and demeaning image of true womanhood with public womanhood and real womanhood. This two ideals were the backdrop against which </w:t>
      </w:r>
      <w:r w:rsidR="004E5172" w:rsidRPr="0020659D">
        <w:rPr>
          <w:rFonts w:ascii="Times New Roman" w:hAnsi="Times New Roman" w:cs="Times New Roman"/>
          <w:sz w:val="24"/>
          <w:szCs w:val="24"/>
          <w:lang w:val="en-US"/>
        </w:rPr>
        <w:t xml:space="preserve">society embraced new cultural changes under which gender roles saw the inclusion of women in society and the rejection of a patriarchal system that inhibited the progress of women in society. </w:t>
      </w:r>
      <w:r w:rsidR="00497D04" w:rsidRPr="0020659D">
        <w:rPr>
          <w:rFonts w:ascii="Times New Roman" w:hAnsi="Times New Roman" w:cs="Times New Roman"/>
          <w:sz w:val="24"/>
          <w:szCs w:val="24"/>
          <w:lang w:val="en-US"/>
        </w:rPr>
        <w:t xml:space="preserve"> </w:t>
      </w:r>
    </w:p>
    <w:p w14:paraId="015F2252" w14:textId="0570A2F4" w:rsidR="00497D04" w:rsidRPr="0020659D" w:rsidRDefault="00497D04" w:rsidP="0020659D">
      <w:pPr>
        <w:spacing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ab/>
        <w:t xml:space="preserve">My critique of the article is that although it is a fairly long read, the author however weaves the descriptive approach with anecdotes of societal perceptions as well as other </w:t>
      </w:r>
      <w:r w:rsidR="00CD44D9" w:rsidRPr="0020659D">
        <w:rPr>
          <w:rFonts w:ascii="Times New Roman" w:hAnsi="Times New Roman" w:cs="Times New Roman"/>
          <w:sz w:val="24"/>
          <w:szCs w:val="24"/>
          <w:lang w:val="en-US"/>
        </w:rPr>
        <w:t>author’s</w:t>
      </w:r>
      <w:r w:rsidRPr="0020659D">
        <w:rPr>
          <w:rFonts w:ascii="Times New Roman" w:hAnsi="Times New Roman" w:cs="Times New Roman"/>
          <w:sz w:val="24"/>
          <w:szCs w:val="24"/>
          <w:lang w:val="en-US"/>
        </w:rPr>
        <w:t xml:space="preserve"> interpretation of the topic. As such, the changing role of women in the 19</w:t>
      </w:r>
      <w:r w:rsidRPr="0020659D">
        <w:rPr>
          <w:rFonts w:ascii="Times New Roman" w:hAnsi="Times New Roman" w:cs="Times New Roman"/>
          <w:sz w:val="24"/>
          <w:szCs w:val="24"/>
          <w:vertAlign w:val="superscript"/>
          <w:lang w:val="en-US"/>
        </w:rPr>
        <w:t>th</w:t>
      </w:r>
      <w:r w:rsidRPr="0020659D">
        <w:rPr>
          <w:rFonts w:ascii="Times New Roman" w:hAnsi="Times New Roman" w:cs="Times New Roman"/>
          <w:sz w:val="24"/>
          <w:szCs w:val="24"/>
          <w:lang w:val="en-US"/>
        </w:rPr>
        <w:t xml:space="preserve"> century becomes alive with actual evidence that illustrates with examples while at the same time substantiating facts with sources </w:t>
      </w:r>
      <w:r w:rsidR="00CD44D9" w:rsidRPr="0020659D">
        <w:rPr>
          <w:rFonts w:ascii="Times New Roman" w:hAnsi="Times New Roman" w:cs="Times New Roman"/>
          <w:sz w:val="24"/>
          <w:szCs w:val="24"/>
          <w:lang w:val="en-US"/>
        </w:rPr>
        <w:t>from</w:t>
      </w:r>
      <w:r w:rsidRPr="0020659D">
        <w:rPr>
          <w:rFonts w:ascii="Times New Roman" w:hAnsi="Times New Roman" w:cs="Times New Roman"/>
          <w:sz w:val="24"/>
          <w:szCs w:val="24"/>
          <w:lang w:val="en-US"/>
        </w:rPr>
        <w:t xml:space="preserve"> the same period. </w:t>
      </w:r>
      <w:r w:rsidR="00CD44D9" w:rsidRPr="0020659D">
        <w:rPr>
          <w:rFonts w:ascii="Times New Roman" w:hAnsi="Times New Roman" w:cs="Times New Roman"/>
          <w:sz w:val="24"/>
          <w:szCs w:val="24"/>
          <w:lang w:val="en-US"/>
        </w:rPr>
        <w:t xml:space="preserve"> </w:t>
      </w:r>
    </w:p>
    <w:p w14:paraId="1C0E2E24" w14:textId="77777777" w:rsidR="0004118C" w:rsidRPr="0020659D" w:rsidRDefault="00D93D04" w:rsidP="0020659D">
      <w:pPr>
        <w:pStyle w:val="Heading1"/>
        <w:spacing w:line="480" w:lineRule="auto"/>
        <w:rPr>
          <w:rFonts w:cs="Times New Roman"/>
          <w:szCs w:val="24"/>
          <w:lang w:val="en-US"/>
        </w:rPr>
      </w:pPr>
      <w:r w:rsidRPr="0020659D">
        <w:rPr>
          <w:rFonts w:cs="Times New Roman"/>
          <w:szCs w:val="24"/>
          <w:lang w:val="en-US"/>
        </w:rPr>
        <w:t>Substance area 2: INTERNAL DYNAMICS OF FAMILIES</w:t>
      </w:r>
    </w:p>
    <w:p w14:paraId="670CD7FE" w14:textId="77777777" w:rsidR="0004118C" w:rsidRPr="0020659D" w:rsidRDefault="00D93D04" w:rsidP="0020659D">
      <w:pPr>
        <w:pStyle w:val="Heading2"/>
        <w:spacing w:line="480" w:lineRule="auto"/>
        <w:rPr>
          <w:rFonts w:cs="Times New Roman"/>
          <w:szCs w:val="24"/>
          <w:lang w:val="en-US"/>
        </w:rPr>
      </w:pPr>
      <w:r w:rsidRPr="0020659D">
        <w:rPr>
          <w:rFonts w:cs="Times New Roman"/>
          <w:szCs w:val="24"/>
          <w:lang w:val="en-US"/>
        </w:rPr>
        <w:t xml:space="preserve">Research Article 1: The relationship between work-family  </w:t>
      </w:r>
    </w:p>
    <w:p w14:paraId="72C71EF6" w14:textId="77777777" w:rsidR="0004118C" w:rsidRPr="0020659D" w:rsidRDefault="0004118C" w:rsidP="0020659D">
      <w:pPr>
        <w:spacing w:line="480" w:lineRule="auto"/>
        <w:rPr>
          <w:rFonts w:ascii="Times New Roman" w:hAnsi="Times New Roman" w:cs="Times New Roman"/>
          <w:sz w:val="24"/>
          <w:szCs w:val="24"/>
          <w:lang w:val="en-US"/>
        </w:rPr>
      </w:pPr>
    </w:p>
    <w:p w14:paraId="5BFBAE97" w14:textId="1CEF5F4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In this cross-sectional descriptive study, the authors analyze the relationship between work-family conflicts and the level of efficiency among female nurses in an Iranian hospital</w:t>
      </w:r>
      <w:r w:rsidR="0020659D">
        <w:rPr>
          <w:rFonts w:ascii="Times New Roman" w:hAnsi="Times New Roman" w:cs="Times New Roman"/>
          <w:sz w:val="24"/>
          <w:szCs w:val="24"/>
          <w:lang w:val="en-US"/>
        </w:rPr>
        <w:t xml:space="preserve"> (</w:t>
      </w:r>
      <w:r w:rsidR="0020659D" w:rsidRPr="0020659D">
        <w:rPr>
          <w:rFonts w:ascii="Times New Roman" w:hAnsi="Times New Roman" w:cs="Times New Roman"/>
          <w:sz w:val="24"/>
          <w:szCs w:val="24"/>
          <w:lang w:val="en-US"/>
        </w:rPr>
        <w:t>B</w:t>
      </w:r>
      <w:r w:rsidR="0020659D">
        <w:rPr>
          <w:rFonts w:ascii="Times New Roman" w:hAnsi="Times New Roman" w:cs="Times New Roman"/>
          <w:sz w:val="24"/>
          <w:szCs w:val="24"/>
          <w:lang w:val="en-US"/>
        </w:rPr>
        <w:t xml:space="preserve">aghban, Malekha &amp; Fatehizadeh, </w:t>
      </w:r>
      <w:r w:rsidR="0020659D" w:rsidRPr="0020659D">
        <w:rPr>
          <w:rFonts w:ascii="Times New Roman" w:hAnsi="Times New Roman" w:cs="Times New Roman"/>
          <w:sz w:val="24"/>
          <w:szCs w:val="24"/>
          <w:lang w:val="en-US"/>
        </w:rPr>
        <w:t>2010)</w:t>
      </w:r>
      <w:r w:rsidRPr="0020659D">
        <w:rPr>
          <w:rFonts w:ascii="Times New Roman" w:hAnsi="Times New Roman" w:cs="Times New Roman"/>
          <w:sz w:val="24"/>
          <w:szCs w:val="24"/>
          <w:lang w:val="en-US"/>
        </w:rPr>
        <w:t>. The authors contend that work family conflicts are associated with numerous negative outcomes for both individuals’ careers and on the companies for which they work. The results of the study indicate that there is a meaningful difference between the work family relationships of employees in permanent jobs and those on contract. This is partly attributed to the fact that the working hours of the two sets of employees are different</w:t>
      </w:r>
      <w:r w:rsidR="0020659D">
        <w:rPr>
          <w:rFonts w:ascii="Times New Roman" w:hAnsi="Times New Roman" w:cs="Times New Roman"/>
          <w:sz w:val="24"/>
          <w:szCs w:val="24"/>
          <w:lang w:val="en-US"/>
        </w:rPr>
        <w:t xml:space="preserve"> (</w:t>
      </w:r>
      <w:r w:rsidR="0020659D" w:rsidRPr="0020659D">
        <w:rPr>
          <w:rFonts w:ascii="Times New Roman" w:hAnsi="Times New Roman" w:cs="Times New Roman"/>
          <w:sz w:val="24"/>
          <w:szCs w:val="24"/>
          <w:lang w:val="en-US"/>
        </w:rPr>
        <w:t>B</w:t>
      </w:r>
      <w:r w:rsidR="0020659D">
        <w:rPr>
          <w:rFonts w:ascii="Times New Roman" w:hAnsi="Times New Roman" w:cs="Times New Roman"/>
          <w:sz w:val="24"/>
          <w:szCs w:val="24"/>
          <w:lang w:val="en-US"/>
        </w:rPr>
        <w:t xml:space="preserve">aghban, Malekha &amp; Fatehizadeh, </w:t>
      </w:r>
      <w:r w:rsidR="0020659D" w:rsidRPr="0020659D">
        <w:rPr>
          <w:rFonts w:ascii="Times New Roman" w:hAnsi="Times New Roman" w:cs="Times New Roman"/>
          <w:sz w:val="24"/>
          <w:szCs w:val="24"/>
          <w:lang w:val="en-US"/>
        </w:rPr>
        <w:t>2010</w:t>
      </w:r>
      <w:r w:rsidR="0020659D">
        <w:rPr>
          <w:rFonts w:ascii="Times New Roman" w:hAnsi="Times New Roman" w:cs="Times New Roman"/>
          <w:sz w:val="24"/>
          <w:szCs w:val="24"/>
          <w:lang w:val="en-US"/>
        </w:rPr>
        <w:t>)</w:t>
      </w:r>
      <w:r w:rsidRPr="0020659D">
        <w:rPr>
          <w:rFonts w:ascii="Times New Roman" w:hAnsi="Times New Roman" w:cs="Times New Roman"/>
          <w:sz w:val="24"/>
          <w:szCs w:val="24"/>
          <w:lang w:val="en-US"/>
        </w:rPr>
        <w:t xml:space="preserve">. Subsequently, according to the authors while work hours of nurses serving on a permanent basis are usually fixed and regularized, contract workers on the other hand have work hours that are irregular and </w:t>
      </w:r>
      <w:r w:rsidRPr="0020659D">
        <w:rPr>
          <w:rFonts w:ascii="Times New Roman" w:hAnsi="Times New Roman" w:cs="Times New Roman"/>
          <w:sz w:val="24"/>
          <w:szCs w:val="24"/>
          <w:lang w:val="en-US"/>
        </w:rPr>
        <w:lastRenderedPageBreak/>
        <w:t>variable. The authors point out that compared to permanently employed workers, workers serving various organizations on a contract basis are reported to manage their work-family conflicts less successfully. This is attributed to their irregular working hours whereby they are not able to balance their work with their roles in the family. Moreover, the authors also report that employees with a high number of working hours compared to those with fewer working hours report a high degree of work-family conflict</w:t>
      </w:r>
      <w:r w:rsidR="0020659D">
        <w:rPr>
          <w:rFonts w:ascii="Times New Roman" w:hAnsi="Times New Roman" w:cs="Times New Roman"/>
          <w:sz w:val="24"/>
          <w:szCs w:val="24"/>
          <w:lang w:val="en-US"/>
        </w:rPr>
        <w:t xml:space="preserve"> (</w:t>
      </w:r>
      <w:r w:rsidR="0020659D" w:rsidRPr="0020659D">
        <w:rPr>
          <w:rFonts w:ascii="Times New Roman" w:hAnsi="Times New Roman" w:cs="Times New Roman"/>
          <w:sz w:val="24"/>
          <w:szCs w:val="24"/>
          <w:lang w:val="en-US"/>
        </w:rPr>
        <w:t>Baghba</w:t>
      </w:r>
      <w:r w:rsidR="0020659D">
        <w:rPr>
          <w:rFonts w:ascii="Times New Roman" w:hAnsi="Times New Roman" w:cs="Times New Roman"/>
          <w:sz w:val="24"/>
          <w:szCs w:val="24"/>
          <w:lang w:val="en-US"/>
        </w:rPr>
        <w:t>n, Malekha &amp; Fatehizadeh, 2010)</w:t>
      </w:r>
      <w:r w:rsidRPr="0020659D">
        <w:rPr>
          <w:rFonts w:ascii="Times New Roman" w:hAnsi="Times New Roman" w:cs="Times New Roman"/>
          <w:sz w:val="24"/>
          <w:szCs w:val="24"/>
          <w:lang w:val="en-US"/>
        </w:rPr>
        <w:t xml:space="preserve">. As such, the authors conclude that there is a direct relationship between work family conflict and number of working hours – if the number of working hours is high, the level of work-family conflict is high, while a low number of working hours results in low work-family conflict. </w:t>
      </w:r>
    </w:p>
    <w:p w14:paraId="6165ADFF" w14:textId="7777777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The work family conflict according to the authors also has implications in relation to the nursing profession itself. Such is the case that work-family conflict was linked to emotional distress, lower job satisfaction levels, as well as fatigue, and symptoms of depression.  </w:t>
      </w:r>
    </w:p>
    <w:p w14:paraId="14D0F2FF" w14:textId="7777777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My critique of this article is that it use of a cross-sectional research design to analyze work family conflict with nurses degree of efficacy in Iran offered the researchers with an instrument to perceive two variables. The study also employed a satisfactory sample size of 180 nurses. Moreover, the sample size was also diverse in the sense that it comprised of both contract based and permanently employed caregivers. However, one of the major disadvantages of the sampling technique, convenience sampling is the fact that by extending the researchers the advantage of a study population that was close to hand or available readily, the inferences cannot be generalized to a larger population. </w:t>
      </w:r>
    </w:p>
    <w:p w14:paraId="2F06CE92" w14:textId="77777777" w:rsidR="0004118C" w:rsidRPr="0020659D" w:rsidRDefault="00D93D04" w:rsidP="0020659D">
      <w:pPr>
        <w:pStyle w:val="Heading2"/>
        <w:spacing w:line="480" w:lineRule="auto"/>
        <w:rPr>
          <w:rFonts w:cs="Times New Roman"/>
          <w:szCs w:val="24"/>
          <w:lang w:val="en-US"/>
        </w:rPr>
      </w:pPr>
      <w:r w:rsidRPr="0020659D">
        <w:rPr>
          <w:rFonts w:cs="Times New Roman"/>
          <w:szCs w:val="24"/>
          <w:lang w:val="en-US"/>
        </w:rPr>
        <w:t>Research Article 2: Conflict management in the family</w:t>
      </w:r>
    </w:p>
    <w:p w14:paraId="332F77C7" w14:textId="77777777" w:rsidR="0004118C" w:rsidRPr="0020659D" w:rsidRDefault="0004118C" w:rsidP="0020659D">
      <w:pPr>
        <w:spacing w:line="480" w:lineRule="auto"/>
        <w:rPr>
          <w:rFonts w:ascii="Times New Roman" w:hAnsi="Times New Roman" w:cs="Times New Roman"/>
          <w:sz w:val="24"/>
          <w:szCs w:val="24"/>
          <w:lang w:val="en-US"/>
        </w:rPr>
      </w:pPr>
    </w:p>
    <w:p w14:paraId="3F12E4BC" w14:textId="7777777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lastRenderedPageBreak/>
        <w:t xml:space="preserve">According to the author, conflict is not only an intrinsic but also an inevitable part of human existence. This means that people cannot avoid conflict because people are bound to pursue their interests as well as goals a process that is inherent with struggle over values not to mention claims to wealth, prestige and power. Significant to note is the fact that in such pursuit, members of the family are bound to neutralize, injure and in some cases, are also forced to get rid of other members that they perceive as competitors and as such, deem as a danger. Conflict is also inevitable among members of a family owing to the fact that in pursuit of personal interests, different family members are likely to disagree because of variations in personal principles.  The author list a number of causes that are attributed to conflict in the family. Firstly, according to Edinyang, (2012) conflict among family members is usually attributed to financial constraint. Particularly, members of a family usually come into conflict because the head of the family is not in a position to provide critical financial assistance. Such financial assistance usually goes towards paying for school fees, provision of basic needs among other chores. Financial constraint may also result in conflict because it makes a provider to have numerous unfulfilled promises. Other conflict in the family are attributed to children. This is attributed to divided children loyalties whereby male children may for instance, ally with the mother and gang up on their father. Sexual problems are also a cause of conflict in families. According to Edinyang, (2012) this may be an attribute of incompatibility or the inability of one partner to satisfy the other.  Other causes include psychological and social causes. </w:t>
      </w:r>
    </w:p>
    <w:p w14:paraId="52DDD929" w14:textId="7777777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My critique of this research is that its use of secondary sources allows it to review several subtopics related to family conflict management. Moreover, the author also divides the article into several subsections which allows the reader to focus on one item at a time ultimately allowing easy synthesis of information. Its use of bullet points also enumerates </w:t>
      </w:r>
      <w:r w:rsidRPr="0020659D">
        <w:rPr>
          <w:rFonts w:ascii="Times New Roman" w:hAnsi="Times New Roman" w:cs="Times New Roman"/>
          <w:sz w:val="24"/>
          <w:szCs w:val="24"/>
          <w:lang w:val="en-US"/>
        </w:rPr>
        <w:lastRenderedPageBreak/>
        <w:t xml:space="preserve">several points clearly which enables the reader to generate a list, for instance of causes of conflict, as well as different ways of managing conflict. </w:t>
      </w:r>
    </w:p>
    <w:p w14:paraId="23E0E412" w14:textId="77777777" w:rsidR="0004118C" w:rsidRPr="0020659D" w:rsidRDefault="00D93D04" w:rsidP="0020659D">
      <w:pPr>
        <w:pStyle w:val="Heading2"/>
        <w:spacing w:line="480" w:lineRule="auto"/>
        <w:rPr>
          <w:rFonts w:cs="Times New Roman"/>
          <w:szCs w:val="24"/>
          <w:lang w:val="en-US"/>
        </w:rPr>
      </w:pPr>
      <w:r w:rsidRPr="0020659D">
        <w:rPr>
          <w:rFonts w:cs="Times New Roman"/>
          <w:szCs w:val="24"/>
          <w:lang w:val="en-US"/>
        </w:rPr>
        <w:t xml:space="preserve">Research Article 3: Family conflict resolution: Its measurement  </w:t>
      </w:r>
    </w:p>
    <w:p w14:paraId="0AE6C3A7" w14:textId="65E412E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In this research, the authors developed a measure of family conflict resolution (FCRS) and provided and preliminary reliability validity information by adapting items on the scale fr</w:t>
      </w:r>
      <w:r w:rsidR="0020659D">
        <w:rPr>
          <w:rFonts w:ascii="Times New Roman" w:hAnsi="Times New Roman" w:cs="Times New Roman"/>
          <w:sz w:val="24"/>
          <w:szCs w:val="24"/>
          <w:lang w:val="en-US"/>
        </w:rPr>
        <w:t>o</w:t>
      </w:r>
      <w:r w:rsidRPr="0020659D">
        <w:rPr>
          <w:rFonts w:ascii="Times New Roman" w:hAnsi="Times New Roman" w:cs="Times New Roman"/>
          <w:sz w:val="24"/>
          <w:szCs w:val="24"/>
          <w:lang w:val="en-US"/>
        </w:rPr>
        <w:t>m existing measures or rationally developing new measures and adapting them to the scale</w:t>
      </w:r>
      <w:r w:rsidR="0020659D">
        <w:rPr>
          <w:rFonts w:ascii="Times New Roman" w:hAnsi="Times New Roman" w:cs="Times New Roman"/>
          <w:sz w:val="24"/>
          <w:szCs w:val="24"/>
          <w:lang w:val="en-US"/>
        </w:rPr>
        <w:t xml:space="preserve"> (</w:t>
      </w:r>
      <w:r w:rsidR="0020659D" w:rsidRPr="0020659D">
        <w:rPr>
          <w:rFonts w:ascii="Times New Roman" w:hAnsi="Times New Roman" w:cs="Times New Roman"/>
          <w:sz w:val="24"/>
          <w:szCs w:val="24"/>
          <w:lang w:val="en-US"/>
        </w:rPr>
        <w:t>Roskos, Handal, &amp; Ubinger, 2010</w:t>
      </w:r>
      <w:r w:rsidR="0020659D">
        <w:rPr>
          <w:rFonts w:ascii="Times New Roman" w:hAnsi="Times New Roman" w:cs="Times New Roman"/>
          <w:sz w:val="24"/>
          <w:szCs w:val="24"/>
          <w:lang w:val="en-US"/>
        </w:rPr>
        <w:t>)</w:t>
      </w:r>
      <w:r w:rsidRPr="0020659D">
        <w:rPr>
          <w:rFonts w:ascii="Times New Roman" w:hAnsi="Times New Roman" w:cs="Times New Roman"/>
          <w:sz w:val="24"/>
          <w:szCs w:val="24"/>
          <w:lang w:val="en-US"/>
        </w:rPr>
        <w:t>. According to the authors, the measure was reported to have high internal consistency. The authors also reported that FCRS scores were negatively correlated with conflict measures. The authors conclude that the measures of conflict resolution tap into different but related constructs</w:t>
      </w:r>
      <w:r w:rsidR="0020659D">
        <w:rPr>
          <w:rFonts w:ascii="Times New Roman" w:hAnsi="Times New Roman" w:cs="Times New Roman"/>
          <w:sz w:val="24"/>
          <w:szCs w:val="24"/>
          <w:lang w:val="en-US"/>
        </w:rPr>
        <w:t xml:space="preserve"> (</w:t>
      </w:r>
      <w:r w:rsidR="0020659D" w:rsidRPr="0020659D">
        <w:rPr>
          <w:rFonts w:ascii="Times New Roman" w:hAnsi="Times New Roman" w:cs="Times New Roman"/>
          <w:sz w:val="24"/>
          <w:szCs w:val="24"/>
          <w:lang w:val="en-US"/>
        </w:rPr>
        <w:t>Roskos, Handal, &amp; Ubinger, 2010</w:t>
      </w:r>
      <w:r w:rsidR="0020659D">
        <w:rPr>
          <w:rFonts w:ascii="Times New Roman" w:hAnsi="Times New Roman" w:cs="Times New Roman"/>
          <w:sz w:val="24"/>
          <w:szCs w:val="24"/>
          <w:lang w:val="en-US"/>
        </w:rPr>
        <w:t>)</w:t>
      </w:r>
      <w:r w:rsidRPr="0020659D">
        <w:rPr>
          <w:rFonts w:ascii="Times New Roman" w:hAnsi="Times New Roman" w:cs="Times New Roman"/>
          <w:sz w:val="24"/>
          <w:szCs w:val="24"/>
          <w:lang w:val="en-US"/>
        </w:rPr>
        <w:t xml:space="preserve">. Particularly, the authors report that the measures of the FCRS scores were negatively consistent with other measures reported elsewhere for maladjustment. Contrastingly, the FCRS scores were positively correlated with life satisfaction measures which in essence supports convergent construct validity. </w:t>
      </w:r>
    </w:p>
    <w:p w14:paraId="51EC8A79" w14:textId="0B23AC19"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In relation to clinical relevance of the FCRS unit measure as relates to conflict avoidance and management, the results of the study – as relates to its conflict management group- the authors report average levels of perceived conflict although they note that the results exceeded the cutoff score noted for identifying distress or maladjustment</w:t>
      </w:r>
      <w:r w:rsidR="000B21BA">
        <w:rPr>
          <w:rFonts w:ascii="Times New Roman" w:hAnsi="Times New Roman" w:cs="Times New Roman"/>
          <w:sz w:val="24"/>
          <w:szCs w:val="24"/>
          <w:lang w:val="en-US"/>
        </w:rPr>
        <w:t xml:space="preserve"> (</w:t>
      </w:r>
      <w:r w:rsidR="000B21BA" w:rsidRPr="0020659D">
        <w:rPr>
          <w:rFonts w:ascii="Times New Roman" w:hAnsi="Times New Roman" w:cs="Times New Roman"/>
          <w:sz w:val="24"/>
          <w:szCs w:val="24"/>
          <w:lang w:val="en-US"/>
        </w:rPr>
        <w:t>Roskos, Handal, &amp; Ubinger, 2010</w:t>
      </w:r>
      <w:r w:rsidR="000B21BA">
        <w:rPr>
          <w:rFonts w:ascii="Times New Roman" w:hAnsi="Times New Roman" w:cs="Times New Roman"/>
          <w:sz w:val="24"/>
          <w:szCs w:val="24"/>
          <w:lang w:val="en-US"/>
        </w:rPr>
        <w:t>)</w:t>
      </w:r>
      <w:r w:rsidRPr="0020659D">
        <w:rPr>
          <w:rFonts w:ascii="Times New Roman" w:hAnsi="Times New Roman" w:cs="Times New Roman"/>
          <w:sz w:val="24"/>
          <w:szCs w:val="24"/>
          <w:lang w:val="en-US"/>
        </w:rPr>
        <w:t>. Conventionally, clinical work as well as research point to the fact that that report self-avoidance of conflict under their own volition do not perceive such conflict as existing; however, the authors caution that the risk of maladjustment for this cohort is extremely high</w:t>
      </w:r>
      <w:r w:rsidR="0020659D">
        <w:rPr>
          <w:rFonts w:ascii="Times New Roman" w:hAnsi="Times New Roman" w:cs="Times New Roman"/>
          <w:sz w:val="24"/>
          <w:szCs w:val="24"/>
          <w:lang w:val="en-US"/>
        </w:rPr>
        <w:t xml:space="preserve"> (</w:t>
      </w:r>
      <w:r w:rsidR="0020659D" w:rsidRPr="0020659D">
        <w:rPr>
          <w:rFonts w:ascii="Times New Roman" w:hAnsi="Times New Roman" w:cs="Times New Roman"/>
          <w:sz w:val="24"/>
          <w:szCs w:val="24"/>
          <w:lang w:val="en-US"/>
        </w:rPr>
        <w:t>Roskos, Handal, &amp; Ubinger, 2010</w:t>
      </w:r>
      <w:r w:rsidR="0020659D">
        <w:rPr>
          <w:rFonts w:ascii="Times New Roman" w:hAnsi="Times New Roman" w:cs="Times New Roman"/>
          <w:sz w:val="24"/>
          <w:szCs w:val="24"/>
          <w:lang w:val="en-US"/>
        </w:rPr>
        <w:t>)</w:t>
      </w:r>
      <w:r w:rsidRPr="0020659D">
        <w:rPr>
          <w:rFonts w:ascii="Times New Roman" w:hAnsi="Times New Roman" w:cs="Times New Roman"/>
          <w:sz w:val="24"/>
          <w:szCs w:val="24"/>
          <w:lang w:val="en-US"/>
        </w:rPr>
        <w:t>. Another observation that the authors make is the fact that avoidance of conflict should be taken as a clinically meaningful risk factor that increases the likelihood for maladjustment</w:t>
      </w:r>
      <w:r w:rsidR="0020659D" w:rsidRPr="0020659D">
        <w:t xml:space="preserve"> </w:t>
      </w:r>
      <w:r w:rsidR="0020659D">
        <w:t>(</w:t>
      </w:r>
      <w:r w:rsidR="0020659D" w:rsidRPr="0020659D">
        <w:rPr>
          <w:rFonts w:ascii="Times New Roman" w:hAnsi="Times New Roman" w:cs="Times New Roman"/>
          <w:sz w:val="24"/>
          <w:szCs w:val="24"/>
          <w:lang w:val="en-US"/>
        </w:rPr>
        <w:t>Roskos, Handal, &amp; Ubinger, 2010</w:t>
      </w:r>
      <w:r w:rsidR="000B21BA">
        <w:rPr>
          <w:rFonts w:ascii="Times New Roman" w:hAnsi="Times New Roman" w:cs="Times New Roman"/>
          <w:sz w:val="24"/>
          <w:szCs w:val="24"/>
          <w:lang w:val="en-US"/>
        </w:rPr>
        <w:t xml:space="preserve">). </w:t>
      </w:r>
    </w:p>
    <w:p w14:paraId="7A89359F" w14:textId="7777777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lastRenderedPageBreak/>
        <w:t xml:space="preserve">My critique of this article is that it employed a satisfactory sample size of 332 participants. Moreover, the sample was also diverse comprising of 98 males and 234 females, drawn from a population of young urban adults. However, the results may be limited from a cultural perspective in the sense that the sample size was mainly drawn from a Midwestern Catholic tertiary institution. The study also employed a diverse line of instruments including the Family Environment Scale and the Brief Symptoms inventory, not to mention the Langner Symptom’s survey. At the same time, to measure the construct validity, the study deployed a correlation analysis (Pearson correlation analysis). Construct validity is particularly important owing to the fact that it helps to examine the degree to which a given measurement scale ascertains the theoretical construct that the tool is expected to measure.  </w:t>
      </w:r>
    </w:p>
    <w:p w14:paraId="7CDB03A7" w14:textId="77777777" w:rsidR="0004118C" w:rsidRPr="0020659D" w:rsidRDefault="00D93D04" w:rsidP="0020659D">
      <w:pPr>
        <w:pStyle w:val="Heading1"/>
        <w:spacing w:line="480" w:lineRule="auto"/>
        <w:rPr>
          <w:rFonts w:cs="Times New Roman"/>
          <w:szCs w:val="24"/>
          <w:lang w:val="en-US"/>
        </w:rPr>
      </w:pPr>
      <w:r w:rsidRPr="0020659D">
        <w:rPr>
          <w:rFonts w:cs="Times New Roman"/>
          <w:szCs w:val="24"/>
          <w:lang w:val="en-US"/>
        </w:rPr>
        <w:t>Substance Area 3: HUMAN GROWTH &amp; DEVELOPMENT OVER THE LIFESPAN</w:t>
      </w:r>
    </w:p>
    <w:p w14:paraId="79281746" w14:textId="77777777" w:rsidR="0004118C" w:rsidRPr="0020659D" w:rsidRDefault="00D93D04" w:rsidP="0020659D">
      <w:pPr>
        <w:pStyle w:val="Heading2"/>
        <w:spacing w:line="480" w:lineRule="auto"/>
        <w:rPr>
          <w:rFonts w:cs="Times New Roman"/>
          <w:szCs w:val="24"/>
          <w:lang w:val="en-US"/>
        </w:rPr>
      </w:pPr>
      <w:r w:rsidRPr="0020659D">
        <w:rPr>
          <w:rFonts w:cs="Times New Roman"/>
          <w:szCs w:val="24"/>
          <w:lang w:val="en-US"/>
        </w:rPr>
        <w:t>Research Article 1: Accelerating progress:</w:t>
      </w:r>
      <w:r w:rsidRPr="0020659D">
        <w:rPr>
          <w:rFonts w:cs="Times New Roman"/>
          <w:szCs w:val="24"/>
        </w:rPr>
        <w:t xml:space="preserve"> </w:t>
      </w:r>
      <w:r w:rsidRPr="0020659D">
        <w:rPr>
          <w:rFonts w:cs="Times New Roman"/>
          <w:szCs w:val="24"/>
          <w:lang w:val="en-US"/>
        </w:rPr>
        <w:t>A new era of research on character development</w:t>
      </w:r>
    </w:p>
    <w:p w14:paraId="50911D88" w14:textId="33E47BC2"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The authors contend that the development of character among adolescent youth has to be prioritized among educators, frontline youth workers, and policy makers</w:t>
      </w:r>
      <w:r w:rsidR="000B21BA">
        <w:rPr>
          <w:rFonts w:ascii="Times New Roman" w:hAnsi="Times New Roman" w:cs="Times New Roman"/>
          <w:sz w:val="24"/>
          <w:szCs w:val="24"/>
          <w:lang w:val="en-US"/>
        </w:rPr>
        <w:t xml:space="preserve"> (Clement </w:t>
      </w:r>
      <w:r w:rsidR="000B21BA" w:rsidRPr="0020659D">
        <w:rPr>
          <w:rFonts w:ascii="Times New Roman" w:hAnsi="Times New Roman" w:cs="Times New Roman"/>
          <w:sz w:val="24"/>
          <w:szCs w:val="24"/>
          <w:lang w:val="en-US"/>
        </w:rPr>
        <w:t>&amp; Bollinger</w:t>
      </w:r>
      <w:r w:rsidR="000B21BA">
        <w:rPr>
          <w:rFonts w:ascii="Times New Roman" w:hAnsi="Times New Roman" w:cs="Times New Roman"/>
          <w:sz w:val="24"/>
          <w:szCs w:val="24"/>
          <w:lang w:val="en-US"/>
        </w:rPr>
        <w:t>, 2017)</w:t>
      </w:r>
      <w:r w:rsidRPr="0020659D">
        <w:rPr>
          <w:rFonts w:ascii="Times New Roman" w:hAnsi="Times New Roman" w:cs="Times New Roman"/>
          <w:sz w:val="24"/>
          <w:szCs w:val="24"/>
          <w:lang w:val="en-US"/>
        </w:rPr>
        <w:t>. In order for these stakeholders to meet these rising demand, there is a need for scholars specializing on character to draw from a wide range of disciplines and push beyond conventional boundaries that have been established by scientific studies. The first step in this approach according to the authors is understanding the underlying structure of adolescent character. This is critical owing to the fact that one of the pressing and significant questions within character development studies relates to the nature of an adolescent’s character</w:t>
      </w:r>
      <w:r w:rsidR="000B21BA">
        <w:rPr>
          <w:rFonts w:ascii="Times New Roman" w:hAnsi="Times New Roman" w:cs="Times New Roman"/>
          <w:sz w:val="24"/>
          <w:szCs w:val="24"/>
          <w:lang w:val="en-US"/>
        </w:rPr>
        <w:t xml:space="preserve">(Clement </w:t>
      </w:r>
      <w:r w:rsidR="000B21BA" w:rsidRPr="0020659D">
        <w:rPr>
          <w:rFonts w:ascii="Times New Roman" w:hAnsi="Times New Roman" w:cs="Times New Roman"/>
          <w:sz w:val="24"/>
          <w:szCs w:val="24"/>
          <w:lang w:val="en-US"/>
        </w:rPr>
        <w:t>&amp; Bollinger</w:t>
      </w:r>
      <w:r w:rsidR="000B21BA">
        <w:rPr>
          <w:rFonts w:ascii="Times New Roman" w:hAnsi="Times New Roman" w:cs="Times New Roman"/>
          <w:sz w:val="24"/>
          <w:szCs w:val="24"/>
          <w:lang w:val="en-US"/>
        </w:rPr>
        <w:t>, 2017)</w:t>
      </w:r>
      <w:r w:rsidRPr="0020659D">
        <w:rPr>
          <w:rFonts w:ascii="Times New Roman" w:hAnsi="Times New Roman" w:cs="Times New Roman"/>
          <w:sz w:val="24"/>
          <w:szCs w:val="24"/>
          <w:lang w:val="en-US"/>
        </w:rPr>
        <w:t xml:space="preserve">. Subsequently, an understanding of the philosophical literature related to the area is critical. Particularly, the study highlights the work of the classical scholar, Aristotle, who pointed out that an individual’s character comprises of both civic and moral virtue. The question that remains relates to how educationalists and </w:t>
      </w:r>
      <w:r w:rsidRPr="0020659D">
        <w:rPr>
          <w:rFonts w:ascii="Times New Roman" w:hAnsi="Times New Roman" w:cs="Times New Roman"/>
          <w:sz w:val="24"/>
          <w:szCs w:val="24"/>
          <w:lang w:val="en-US"/>
        </w:rPr>
        <w:lastRenderedPageBreak/>
        <w:t>psychologists can incorporate this elements in the overall structure of adolescent behavioral theories in trying to understand this stage of development. A key starting point that the authors propose is Davidson’s (2005) conceptual framework of moral and performance character. Additionally, the authors also high a four-dimensional framework that comprises of intellectual, civic, moral, and performance character.  The authors also highlight relationship</w:t>
      </w:r>
      <w:r w:rsidR="000B21BA">
        <w:rPr>
          <w:rFonts w:ascii="Times New Roman" w:hAnsi="Times New Roman" w:cs="Times New Roman"/>
          <w:sz w:val="24"/>
          <w:szCs w:val="24"/>
          <w:lang w:val="en-US"/>
        </w:rPr>
        <w:t>s among character strength. They</w:t>
      </w:r>
      <w:r w:rsidRPr="0020659D">
        <w:rPr>
          <w:rFonts w:ascii="Times New Roman" w:hAnsi="Times New Roman" w:cs="Times New Roman"/>
          <w:sz w:val="24"/>
          <w:szCs w:val="24"/>
          <w:lang w:val="en-US"/>
        </w:rPr>
        <w:t xml:space="preserve"> justify their proposal using Nicomachean ethics in which the classical scholar Aristotle postulated the notion of unity of virtues – primarily, according to Aristotle, in order for one to excel in one, they were required to be better in all of them, meaning that, an individual, particularly, an adolescent needs to be all rounded when it comes to character and virtue in order to avoid maladaptive behavior</w:t>
      </w:r>
      <w:r w:rsidR="000B21BA">
        <w:rPr>
          <w:rFonts w:ascii="Times New Roman" w:hAnsi="Times New Roman" w:cs="Times New Roman"/>
          <w:sz w:val="24"/>
          <w:szCs w:val="24"/>
          <w:lang w:val="en-US"/>
        </w:rPr>
        <w:t xml:space="preserve"> (Clement </w:t>
      </w:r>
      <w:r w:rsidR="000B21BA" w:rsidRPr="0020659D">
        <w:rPr>
          <w:rFonts w:ascii="Times New Roman" w:hAnsi="Times New Roman" w:cs="Times New Roman"/>
          <w:sz w:val="24"/>
          <w:szCs w:val="24"/>
          <w:lang w:val="en-US"/>
        </w:rPr>
        <w:t>&amp; Bollinger</w:t>
      </w:r>
      <w:r w:rsidR="000B21BA">
        <w:rPr>
          <w:rFonts w:ascii="Times New Roman" w:hAnsi="Times New Roman" w:cs="Times New Roman"/>
          <w:sz w:val="24"/>
          <w:szCs w:val="24"/>
          <w:lang w:val="en-US"/>
        </w:rPr>
        <w:t>, 2017)</w:t>
      </w:r>
      <w:r w:rsidRPr="0020659D">
        <w:rPr>
          <w:rFonts w:ascii="Times New Roman" w:hAnsi="Times New Roman" w:cs="Times New Roman"/>
          <w:sz w:val="24"/>
          <w:szCs w:val="24"/>
          <w:lang w:val="en-US"/>
        </w:rPr>
        <w:t xml:space="preserve">. Another area that the authors propose relates to individual profiles, whereby according to the authors there is a need for studies on the trajectories of specific character strengths. What this means is that individuals, in developing a particular character strengths, usually follow a marked path. Understanding of this character trajectory can go a long way towards avoiding maladaptive behaviors among adolescents and establishing contexts that promote the formation of desirable characters among youth.  </w:t>
      </w:r>
    </w:p>
    <w:p w14:paraId="6A26C0DF" w14:textId="7777777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My critique of this article is that it employs a focused literature review to analyze character development among adolescent youths. The researchers formulate five major research questions whereby they proceed to transform the research questions into the major areas of emphasis throughout the article. Ideally, the article uses evidence from numerus peers with a total of 32 references. The authors also declare their conflict of interest and mention their compliance with ethical standards while researching the subject. </w:t>
      </w:r>
    </w:p>
    <w:p w14:paraId="6BC21C60" w14:textId="77777777" w:rsidR="0004118C" w:rsidRPr="0020659D" w:rsidRDefault="00D93D04" w:rsidP="0020659D">
      <w:pPr>
        <w:pStyle w:val="Heading2"/>
        <w:spacing w:line="480" w:lineRule="auto"/>
        <w:rPr>
          <w:rFonts w:cs="Times New Roman"/>
          <w:szCs w:val="24"/>
          <w:lang w:val="en-US"/>
        </w:rPr>
      </w:pPr>
      <w:r w:rsidRPr="0020659D">
        <w:rPr>
          <w:rFonts w:cs="Times New Roman"/>
          <w:szCs w:val="24"/>
          <w:lang w:val="en-US"/>
        </w:rPr>
        <w:t>Research Article 2: What do teachers think about youth purpose</w:t>
      </w:r>
    </w:p>
    <w:p w14:paraId="51C32FB5" w14:textId="521BECA4" w:rsidR="0004118C" w:rsidRPr="0020659D" w:rsidRDefault="00D93D04" w:rsidP="0020659D">
      <w:pPr>
        <w:spacing w:line="480" w:lineRule="auto"/>
        <w:ind w:firstLine="720"/>
        <w:rPr>
          <w:rFonts w:ascii="Times New Roman" w:hAnsi="Times New Roman" w:cs="Times New Roman"/>
          <w:sz w:val="24"/>
          <w:szCs w:val="24"/>
        </w:rPr>
      </w:pPr>
      <w:r w:rsidRPr="0020659D">
        <w:rPr>
          <w:rFonts w:ascii="Times New Roman" w:hAnsi="Times New Roman" w:cs="Times New Roman"/>
          <w:sz w:val="24"/>
          <w:szCs w:val="24"/>
        </w:rPr>
        <w:t xml:space="preserve">According to Moran (2016) when it comes to adolescents, purpose development is particularly critical in their educational effectiveness. The authors start by acknowledging </w:t>
      </w:r>
      <w:r w:rsidRPr="0020659D">
        <w:rPr>
          <w:rFonts w:ascii="Times New Roman" w:hAnsi="Times New Roman" w:cs="Times New Roman"/>
          <w:sz w:val="24"/>
          <w:szCs w:val="24"/>
        </w:rPr>
        <w:lastRenderedPageBreak/>
        <w:t xml:space="preserve">that among many youths, purpose is usually normative whereby the school particularly plays a central role as an instrument for promoting normative behaviours and goals. Such is the case because, the schooling system is the backdrop against which children and adolescents find mentors as well as models for </w:t>
      </w:r>
      <w:r w:rsidR="000B21BA" w:rsidRPr="0020659D">
        <w:rPr>
          <w:rFonts w:ascii="Times New Roman" w:hAnsi="Times New Roman" w:cs="Times New Roman"/>
          <w:sz w:val="24"/>
          <w:szCs w:val="24"/>
        </w:rPr>
        <w:t>behaviours</w:t>
      </w:r>
      <w:r w:rsidRPr="0020659D">
        <w:rPr>
          <w:rFonts w:ascii="Times New Roman" w:hAnsi="Times New Roman" w:cs="Times New Roman"/>
          <w:sz w:val="24"/>
          <w:szCs w:val="24"/>
        </w:rPr>
        <w:t xml:space="preserve"> which in essence generates an opportunity to step into a certain pathway of personality</w:t>
      </w:r>
      <w:r w:rsidR="000B21BA">
        <w:rPr>
          <w:rFonts w:ascii="Times New Roman" w:hAnsi="Times New Roman" w:cs="Times New Roman"/>
          <w:sz w:val="24"/>
          <w:szCs w:val="24"/>
        </w:rPr>
        <w:t xml:space="preserve"> (Moran </w:t>
      </w:r>
      <w:r w:rsidR="000B21BA" w:rsidRPr="0020659D">
        <w:rPr>
          <w:rFonts w:ascii="Times New Roman" w:hAnsi="Times New Roman" w:cs="Times New Roman"/>
          <w:sz w:val="24"/>
          <w:szCs w:val="24"/>
        </w:rPr>
        <w:t>2016)</w:t>
      </w:r>
      <w:r w:rsidRPr="0020659D">
        <w:rPr>
          <w:rFonts w:ascii="Times New Roman" w:hAnsi="Times New Roman" w:cs="Times New Roman"/>
          <w:sz w:val="24"/>
          <w:szCs w:val="24"/>
        </w:rPr>
        <w:t>. However, the authors are quick to caution that the relationship between todays schooling practices as well as purpose development is a poorly understood dimension in research. Such is the case that while on one hand many youths in the United States find it hard in establishing the link between the schooling process and their long term goals, a majority of school based programs have proved that life purposes can be achieved via civic engagement, character education as well as whole child curricula. The authors also note the primary distinction between purposeful development and educational practices in which many learning institutions in the United States tend to acknowledge the fact that purpose has content – this primarily defines what an individual student intends to become in the future</w:t>
      </w:r>
      <w:r w:rsidR="000B21BA">
        <w:rPr>
          <w:rFonts w:ascii="Times New Roman" w:hAnsi="Times New Roman" w:cs="Times New Roman"/>
          <w:sz w:val="24"/>
          <w:szCs w:val="24"/>
        </w:rPr>
        <w:t xml:space="preserve"> (Moran </w:t>
      </w:r>
      <w:r w:rsidR="000B21BA" w:rsidRPr="0020659D">
        <w:rPr>
          <w:rFonts w:ascii="Times New Roman" w:hAnsi="Times New Roman" w:cs="Times New Roman"/>
          <w:sz w:val="24"/>
          <w:szCs w:val="24"/>
        </w:rPr>
        <w:t>2016)</w:t>
      </w:r>
      <w:r w:rsidRPr="0020659D">
        <w:rPr>
          <w:rFonts w:ascii="Times New Roman" w:hAnsi="Times New Roman" w:cs="Times New Roman"/>
          <w:sz w:val="24"/>
          <w:szCs w:val="24"/>
        </w:rPr>
        <w:t>. Such is the case that students choose a variety of disciplines and professions including becoming and astronaut, eliminating racism or increasing conscience among students. Significant to note is the fact that more specific classroom programs can go a long way towards linking students to an area of success. However, this is not the case because schooling in many countries around the world usually has its basis on objective academic standards and as such overlooks individual students’ personal goals</w:t>
      </w:r>
      <w:r w:rsidR="000B21BA">
        <w:rPr>
          <w:rFonts w:ascii="Times New Roman" w:hAnsi="Times New Roman" w:cs="Times New Roman"/>
          <w:sz w:val="24"/>
          <w:szCs w:val="24"/>
        </w:rPr>
        <w:t xml:space="preserve"> (Moran </w:t>
      </w:r>
      <w:r w:rsidR="000B21BA" w:rsidRPr="0020659D">
        <w:rPr>
          <w:rFonts w:ascii="Times New Roman" w:hAnsi="Times New Roman" w:cs="Times New Roman"/>
          <w:sz w:val="24"/>
          <w:szCs w:val="24"/>
        </w:rPr>
        <w:t>2016)</w:t>
      </w:r>
      <w:r w:rsidRPr="0020659D">
        <w:rPr>
          <w:rFonts w:ascii="Times New Roman" w:hAnsi="Times New Roman" w:cs="Times New Roman"/>
          <w:sz w:val="24"/>
          <w:szCs w:val="24"/>
        </w:rPr>
        <w:t xml:space="preserve">. This is further worsened by the fact that in many countries, most school curricula embrace a one-fits-all strategy which ultimately results in students discounting the value of a lesson to their individual future plans. </w:t>
      </w:r>
    </w:p>
    <w:p w14:paraId="480A0387" w14:textId="325E9943" w:rsidR="0004118C" w:rsidRPr="0020659D" w:rsidRDefault="00D93D04" w:rsidP="0020659D">
      <w:pPr>
        <w:spacing w:line="480" w:lineRule="auto"/>
        <w:ind w:firstLine="720"/>
        <w:rPr>
          <w:rFonts w:ascii="Times New Roman" w:hAnsi="Times New Roman" w:cs="Times New Roman"/>
          <w:sz w:val="24"/>
          <w:szCs w:val="24"/>
        </w:rPr>
      </w:pPr>
      <w:r w:rsidRPr="0020659D">
        <w:rPr>
          <w:rFonts w:ascii="Times New Roman" w:hAnsi="Times New Roman" w:cs="Times New Roman"/>
          <w:sz w:val="24"/>
          <w:szCs w:val="24"/>
        </w:rPr>
        <w:t>In correcting for this anomaly, the authors highlight the central role of teachers noting that teachers are a source of strong interpersonal relationships and also at the same time add an emotional dimension to the process of learning</w:t>
      </w:r>
      <w:r w:rsidR="000B21BA">
        <w:rPr>
          <w:rFonts w:ascii="Times New Roman" w:hAnsi="Times New Roman" w:cs="Times New Roman"/>
          <w:sz w:val="24"/>
          <w:szCs w:val="24"/>
        </w:rPr>
        <w:t xml:space="preserve"> (Moran </w:t>
      </w:r>
      <w:r w:rsidR="000B21BA" w:rsidRPr="0020659D">
        <w:rPr>
          <w:rFonts w:ascii="Times New Roman" w:hAnsi="Times New Roman" w:cs="Times New Roman"/>
          <w:sz w:val="24"/>
          <w:szCs w:val="24"/>
        </w:rPr>
        <w:t>2016)</w:t>
      </w:r>
      <w:r w:rsidRPr="0020659D">
        <w:rPr>
          <w:rFonts w:ascii="Times New Roman" w:hAnsi="Times New Roman" w:cs="Times New Roman"/>
          <w:sz w:val="24"/>
          <w:szCs w:val="24"/>
        </w:rPr>
        <w:t xml:space="preserve">. This is particularly critical, </w:t>
      </w:r>
      <w:r w:rsidRPr="0020659D">
        <w:rPr>
          <w:rFonts w:ascii="Times New Roman" w:hAnsi="Times New Roman" w:cs="Times New Roman"/>
          <w:sz w:val="24"/>
          <w:szCs w:val="24"/>
        </w:rPr>
        <w:lastRenderedPageBreak/>
        <w:t xml:space="preserve">owing to the fact that it stimulates personal meaning and as such transcends the personal self-orientation among adolescents. Moreover, the author reports that teachers, in the education process are also known to be purposeful. As purposeful individuals, teachers remain resilient and as such are increasingly inclined to pursue lifelong motivations. Ultimately, this forms a strong and powerful source of reference point for young learners.  </w:t>
      </w:r>
    </w:p>
    <w:p w14:paraId="4336248A" w14:textId="77777777" w:rsidR="0004118C" w:rsidRPr="0020659D" w:rsidRDefault="00D93D04" w:rsidP="0020659D">
      <w:pPr>
        <w:spacing w:line="480" w:lineRule="auto"/>
        <w:ind w:firstLine="720"/>
        <w:rPr>
          <w:rFonts w:ascii="Times New Roman" w:hAnsi="Times New Roman" w:cs="Times New Roman"/>
          <w:sz w:val="24"/>
          <w:szCs w:val="24"/>
        </w:rPr>
      </w:pPr>
      <w:r w:rsidRPr="0020659D">
        <w:rPr>
          <w:rFonts w:ascii="Times New Roman" w:hAnsi="Times New Roman" w:cs="Times New Roman"/>
          <w:sz w:val="24"/>
          <w:szCs w:val="24"/>
        </w:rPr>
        <w:t xml:space="preserve">My critique of this article is that while striving to understand teachers dimensions of purpose in their lessons the use of case research allowed a longitudinal observations of teachers (a male in their 20s, female in their 30s and female in their fifties) over a period of two years. This in essence allowed the study to derive detailed and contextualized inferences and thus ultimately led to an understanding the dynamic process of teachers’ dimensions of purpose in their lessons. </w:t>
      </w:r>
    </w:p>
    <w:p w14:paraId="0F249B73" w14:textId="77777777" w:rsidR="0004118C" w:rsidRPr="0020659D" w:rsidRDefault="00D93D04" w:rsidP="0020659D">
      <w:pPr>
        <w:pStyle w:val="Heading2"/>
        <w:spacing w:line="480" w:lineRule="auto"/>
        <w:rPr>
          <w:rFonts w:cs="Times New Roman"/>
          <w:szCs w:val="24"/>
        </w:rPr>
      </w:pPr>
      <w:r w:rsidRPr="0020659D">
        <w:rPr>
          <w:rFonts w:cs="Times New Roman"/>
          <w:szCs w:val="24"/>
          <w:lang w:val="en-US"/>
        </w:rPr>
        <w:t xml:space="preserve">Research Article 3: </w:t>
      </w:r>
      <w:r w:rsidRPr="0020659D">
        <w:rPr>
          <w:rFonts w:cs="Times New Roman"/>
          <w:szCs w:val="24"/>
        </w:rPr>
        <w:t xml:space="preserve"> Developing leaders of character at the United States military academy: A Relational Developmental Systems Analysis</w:t>
      </w:r>
    </w:p>
    <w:p w14:paraId="7893F324" w14:textId="4C83C81B"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In this study, the authors use the US Military Academy to understand the development of character in an institution of higher learning. USMA according to the authors, has built a reputation as a world leader when it comes to development of leaders</w:t>
      </w:r>
      <w:r w:rsidR="000B21BA">
        <w:rPr>
          <w:rFonts w:ascii="Times New Roman" w:hAnsi="Times New Roman" w:cs="Times New Roman"/>
          <w:sz w:val="24"/>
          <w:szCs w:val="24"/>
          <w:lang w:val="en-US"/>
        </w:rPr>
        <w:t xml:space="preserve"> (</w:t>
      </w:r>
      <w:r w:rsidR="000B21BA" w:rsidRPr="0020659D">
        <w:rPr>
          <w:rFonts w:ascii="Times New Roman" w:hAnsi="Times New Roman" w:cs="Times New Roman"/>
          <w:sz w:val="24"/>
          <w:szCs w:val="24"/>
          <w:lang w:val="en-US"/>
        </w:rPr>
        <w:t>Callina</w:t>
      </w:r>
      <w:r w:rsidR="000B21BA">
        <w:rPr>
          <w:rFonts w:ascii="Times New Roman" w:hAnsi="Times New Roman" w:cs="Times New Roman"/>
          <w:sz w:val="24"/>
          <w:szCs w:val="24"/>
          <w:lang w:val="en-US"/>
        </w:rPr>
        <w:t xml:space="preserve"> et al. 2017)</w:t>
      </w:r>
      <w:r w:rsidRPr="0020659D">
        <w:rPr>
          <w:rFonts w:ascii="Times New Roman" w:hAnsi="Times New Roman" w:cs="Times New Roman"/>
          <w:sz w:val="24"/>
          <w:szCs w:val="24"/>
          <w:lang w:val="en-US"/>
        </w:rPr>
        <w:t>. This fact about the institution is captured under its mission in which it is stated that the school intends “To educate, train, and inspire the Corps of Cadets so that each graduate is a commissioned leader of character committed to the values of Duty, Honor, Country and prepared for a career of professional excellence and service to the Nation as an of</w:t>
      </w:r>
      <w:r w:rsidR="000B21BA">
        <w:rPr>
          <w:rFonts w:ascii="Times New Roman" w:hAnsi="Times New Roman" w:cs="Times New Roman"/>
          <w:sz w:val="24"/>
          <w:szCs w:val="24"/>
          <w:lang w:val="en-US"/>
        </w:rPr>
        <w:t>ficer in the United States Army</w:t>
      </w:r>
      <w:r w:rsidRPr="0020659D">
        <w:rPr>
          <w:rFonts w:ascii="Times New Roman" w:hAnsi="Times New Roman" w:cs="Times New Roman"/>
          <w:sz w:val="24"/>
          <w:szCs w:val="24"/>
          <w:lang w:val="en-US"/>
        </w:rPr>
        <w:t>”</w:t>
      </w:r>
      <w:r w:rsidR="000B21BA">
        <w:rPr>
          <w:rFonts w:ascii="Times New Roman" w:hAnsi="Times New Roman" w:cs="Times New Roman"/>
          <w:sz w:val="24"/>
          <w:szCs w:val="24"/>
          <w:lang w:val="en-US"/>
        </w:rPr>
        <w:t xml:space="preserve"> (</w:t>
      </w:r>
      <w:r w:rsidR="000B21BA" w:rsidRPr="0020659D">
        <w:rPr>
          <w:rFonts w:ascii="Times New Roman" w:hAnsi="Times New Roman" w:cs="Times New Roman"/>
          <w:sz w:val="24"/>
          <w:szCs w:val="24"/>
          <w:lang w:val="en-US"/>
        </w:rPr>
        <w:t>Callina</w:t>
      </w:r>
      <w:r w:rsidR="000B21BA">
        <w:rPr>
          <w:rFonts w:ascii="Times New Roman" w:hAnsi="Times New Roman" w:cs="Times New Roman"/>
          <w:sz w:val="24"/>
          <w:szCs w:val="24"/>
          <w:lang w:val="en-US"/>
        </w:rPr>
        <w:t xml:space="preserve"> et al., 2017).</w:t>
      </w:r>
      <w:r w:rsidRPr="0020659D">
        <w:rPr>
          <w:rFonts w:ascii="Times New Roman" w:hAnsi="Times New Roman" w:cs="Times New Roman"/>
          <w:sz w:val="24"/>
          <w:szCs w:val="24"/>
          <w:lang w:val="en-US"/>
        </w:rPr>
        <w:t xml:space="preserve"> In order to fulfil this mission USMA also referred to as WestPoint relies on curricula as well as programs whose design is aimed at inculcating cadets with attitudes, behaviors, as well as values and virtues that are a reflection of an evolving commissioned leader. Particularly, Westpoint as Callina et al (2017) report relies on a 47-month program in which the institution introduces its diverse student community to a </w:t>
      </w:r>
      <w:r w:rsidRPr="0020659D">
        <w:rPr>
          <w:rFonts w:ascii="Times New Roman" w:hAnsi="Times New Roman" w:cs="Times New Roman"/>
          <w:sz w:val="24"/>
          <w:szCs w:val="24"/>
          <w:lang w:val="en-US"/>
        </w:rPr>
        <w:lastRenderedPageBreak/>
        <w:t xml:space="preserve">repertoire of behaviors, competencies, attitudes, as well as skills to become commissioned officers. </w:t>
      </w:r>
    </w:p>
    <w:p w14:paraId="5EE39E0B" w14:textId="7777777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My critique of this article is that it employs a descriptive approach to understand current practices for developing leaders at a military institution. It then weighs the strengths of the derived models against relational developmental system theories. This is particularly ideal, because these theories are part of the cutting-edge techniques in contemporary human development studies.  </w:t>
      </w:r>
    </w:p>
    <w:p w14:paraId="5D32F079" w14:textId="77777777" w:rsidR="0004118C" w:rsidRPr="0020659D" w:rsidRDefault="00D93D04" w:rsidP="0020659D">
      <w:pPr>
        <w:pStyle w:val="Heading1"/>
        <w:spacing w:line="480" w:lineRule="auto"/>
        <w:rPr>
          <w:rFonts w:cs="Times New Roman"/>
          <w:szCs w:val="24"/>
          <w:lang w:val="en-US"/>
        </w:rPr>
      </w:pPr>
      <w:r w:rsidRPr="0020659D">
        <w:rPr>
          <w:rFonts w:cs="Times New Roman"/>
          <w:szCs w:val="24"/>
          <w:lang w:val="en-US"/>
        </w:rPr>
        <w:t>Substance Area 4: HUMAN SEXUALITY</w:t>
      </w:r>
    </w:p>
    <w:p w14:paraId="0640420E" w14:textId="77777777" w:rsidR="0004118C" w:rsidRPr="0020659D" w:rsidRDefault="00D93D04" w:rsidP="0020659D">
      <w:pPr>
        <w:pStyle w:val="Heading2"/>
        <w:spacing w:line="480" w:lineRule="auto"/>
        <w:rPr>
          <w:rFonts w:cs="Times New Roman"/>
          <w:szCs w:val="24"/>
          <w:lang w:val="en-US"/>
        </w:rPr>
      </w:pPr>
      <w:r w:rsidRPr="0020659D">
        <w:rPr>
          <w:rFonts w:cs="Times New Roman"/>
          <w:szCs w:val="24"/>
          <w:lang w:val="en-US"/>
        </w:rPr>
        <w:t>Research Article 1: Relationship of sexual dysfunction and its associated factors in women with genital and breast cancers</w:t>
      </w:r>
    </w:p>
    <w:p w14:paraId="37716593" w14:textId="076B3260"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The authors begin by defining the concept of sexual dysfunction whereby they relate sexual disorder to mental as well as social changes in an individual’s life</w:t>
      </w:r>
      <w:r w:rsidR="00133CB5">
        <w:rPr>
          <w:rFonts w:ascii="Times New Roman" w:hAnsi="Times New Roman" w:cs="Times New Roman"/>
          <w:sz w:val="24"/>
          <w:szCs w:val="24"/>
          <w:lang w:val="en-US"/>
        </w:rPr>
        <w:t xml:space="preserve"> (Fariba, Savabi</w:t>
      </w:r>
      <w:r w:rsidR="00133CB5" w:rsidRPr="0020659D">
        <w:rPr>
          <w:rFonts w:ascii="Times New Roman" w:hAnsi="Times New Roman" w:cs="Times New Roman"/>
          <w:sz w:val="24"/>
          <w:szCs w:val="24"/>
          <w:lang w:val="en-US"/>
        </w:rPr>
        <w:t xml:space="preserve"> &amp; Mohamadirizi</w:t>
      </w:r>
      <w:r w:rsidR="00133CB5">
        <w:rPr>
          <w:rFonts w:ascii="Times New Roman" w:hAnsi="Times New Roman" w:cs="Times New Roman"/>
          <w:sz w:val="24"/>
          <w:szCs w:val="24"/>
          <w:lang w:val="en-US"/>
        </w:rPr>
        <w:t>, 2015)</w:t>
      </w:r>
      <w:r w:rsidRPr="0020659D">
        <w:rPr>
          <w:rFonts w:ascii="Times New Roman" w:hAnsi="Times New Roman" w:cs="Times New Roman"/>
          <w:sz w:val="24"/>
          <w:szCs w:val="24"/>
          <w:lang w:val="en-US"/>
        </w:rPr>
        <w:t>. Primarily, sexual dysfunction as the authors report creates both interpersonal problems and stresses which include among others hatred of sexual activity, a decline of personal human desires orgasmic disorder, as well as sexual arousal disorder. There are a number of factors that are attributed to this state and include quality of relationship, age duration, individual psychological factors. One of the most significant observations that the authors make in the article is the fact that sexual dysfunction is linked to childhood relations as well as previous failed relationships and in some cases individuals with sexual dysfunction usually do not having a strategy to cope with negative or stressful emotions whereby they are forced to turn to drugs</w:t>
      </w:r>
      <w:r w:rsidR="00133CB5">
        <w:rPr>
          <w:rFonts w:ascii="Times New Roman" w:hAnsi="Times New Roman" w:cs="Times New Roman"/>
          <w:sz w:val="24"/>
          <w:szCs w:val="24"/>
          <w:lang w:val="en-US"/>
        </w:rPr>
        <w:t xml:space="preserve"> (Fariba, Savabi</w:t>
      </w:r>
      <w:r w:rsidR="00133CB5" w:rsidRPr="0020659D">
        <w:rPr>
          <w:rFonts w:ascii="Times New Roman" w:hAnsi="Times New Roman" w:cs="Times New Roman"/>
          <w:sz w:val="24"/>
          <w:szCs w:val="24"/>
          <w:lang w:val="en-US"/>
        </w:rPr>
        <w:t xml:space="preserve"> &amp; Mohamadirizi</w:t>
      </w:r>
      <w:r w:rsidR="00133CB5">
        <w:rPr>
          <w:rFonts w:ascii="Times New Roman" w:hAnsi="Times New Roman" w:cs="Times New Roman"/>
          <w:sz w:val="24"/>
          <w:szCs w:val="24"/>
          <w:lang w:val="en-US"/>
        </w:rPr>
        <w:t>, 2015)</w:t>
      </w:r>
      <w:r w:rsidRPr="0020659D">
        <w:rPr>
          <w:rFonts w:ascii="Times New Roman" w:hAnsi="Times New Roman" w:cs="Times New Roman"/>
          <w:sz w:val="24"/>
          <w:szCs w:val="24"/>
          <w:lang w:val="en-US"/>
        </w:rPr>
        <w:t xml:space="preserve">. Sexual dysfunction is also explained as a result of diseases. Particularly, the authors emphasize on the role of disease in sexual dysfunctions noting that it can be a primary contributor because of several reasons including body dementia, long term hospitalization, as </w:t>
      </w:r>
      <w:r w:rsidRPr="0020659D">
        <w:rPr>
          <w:rFonts w:ascii="Times New Roman" w:hAnsi="Times New Roman" w:cs="Times New Roman"/>
          <w:sz w:val="24"/>
          <w:szCs w:val="24"/>
          <w:lang w:val="en-US"/>
        </w:rPr>
        <w:lastRenderedPageBreak/>
        <w:t>well as reduced ability for an individual to carry out daily activities. The authors also mention that sexual dysfunction is particularly prevalent among women – sexual dysfunction has a 40 percent prevalence among women with the rate even higher among those with gynecologic cancer</w:t>
      </w:r>
      <w:r w:rsidR="00133CB5">
        <w:rPr>
          <w:rFonts w:ascii="Times New Roman" w:hAnsi="Times New Roman" w:cs="Times New Roman"/>
          <w:sz w:val="24"/>
          <w:szCs w:val="24"/>
          <w:lang w:val="en-US"/>
        </w:rPr>
        <w:t xml:space="preserve"> (Fariba, Savabi</w:t>
      </w:r>
      <w:r w:rsidR="00133CB5" w:rsidRPr="0020659D">
        <w:rPr>
          <w:rFonts w:ascii="Times New Roman" w:hAnsi="Times New Roman" w:cs="Times New Roman"/>
          <w:sz w:val="24"/>
          <w:szCs w:val="24"/>
          <w:lang w:val="en-US"/>
        </w:rPr>
        <w:t xml:space="preserve"> &amp; Mohamadirizi</w:t>
      </w:r>
      <w:r w:rsidR="00133CB5">
        <w:rPr>
          <w:rFonts w:ascii="Times New Roman" w:hAnsi="Times New Roman" w:cs="Times New Roman"/>
          <w:sz w:val="24"/>
          <w:szCs w:val="24"/>
          <w:lang w:val="en-US"/>
        </w:rPr>
        <w:t>, 2015)</w:t>
      </w:r>
      <w:r w:rsidRPr="0020659D">
        <w:rPr>
          <w:rFonts w:ascii="Times New Roman" w:hAnsi="Times New Roman" w:cs="Times New Roman"/>
          <w:sz w:val="24"/>
          <w:szCs w:val="24"/>
          <w:lang w:val="en-US"/>
        </w:rPr>
        <w:t xml:space="preserve">. </w:t>
      </w:r>
    </w:p>
    <w:p w14:paraId="145282CF" w14:textId="7777777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My critique of this study is that it employed a large enough sample of 150 women who all had genital and breast cancers. Moreover, the two-stage sampling tool, a type of probability sampling, allowed the researchers to obtain their research needs – a disease demographic need as well as the sexual function need. At the same time, the researchers also used sufficient data analysis tools including t-test, SPSSS, and ANOVA. </w:t>
      </w:r>
    </w:p>
    <w:p w14:paraId="3C7100D6" w14:textId="77777777" w:rsidR="0004118C" w:rsidRPr="0020659D" w:rsidRDefault="00D93D04" w:rsidP="0020659D">
      <w:pPr>
        <w:pStyle w:val="Heading2"/>
        <w:spacing w:line="480" w:lineRule="auto"/>
        <w:rPr>
          <w:rFonts w:cs="Times New Roman"/>
          <w:szCs w:val="24"/>
          <w:lang w:val="en-US"/>
        </w:rPr>
      </w:pPr>
      <w:r w:rsidRPr="0020659D">
        <w:rPr>
          <w:rFonts w:cs="Times New Roman"/>
          <w:szCs w:val="24"/>
          <w:lang w:val="en-US"/>
        </w:rPr>
        <w:t>Research Article 2: A Review of affecting factors on sexual satisfaction</w:t>
      </w:r>
    </w:p>
    <w:p w14:paraId="07BBFD0C" w14:textId="3D4A4988"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In this </w:t>
      </w:r>
      <w:r w:rsidR="00133CB5">
        <w:rPr>
          <w:rFonts w:ascii="Times New Roman" w:hAnsi="Times New Roman" w:cs="Times New Roman"/>
          <w:sz w:val="24"/>
          <w:szCs w:val="24"/>
          <w:lang w:val="en-US"/>
        </w:rPr>
        <w:t>study</w:t>
      </w:r>
      <w:r w:rsidRPr="0020659D">
        <w:rPr>
          <w:rFonts w:ascii="Times New Roman" w:hAnsi="Times New Roman" w:cs="Times New Roman"/>
          <w:sz w:val="24"/>
          <w:szCs w:val="24"/>
          <w:lang w:val="en-US"/>
        </w:rPr>
        <w:t>, the authors aimed to explore the factors that are attributed to sexual dissatisfaction among women</w:t>
      </w:r>
      <w:r w:rsidR="00133CB5">
        <w:rPr>
          <w:rFonts w:ascii="Times New Roman" w:hAnsi="Times New Roman" w:cs="Times New Roman"/>
          <w:sz w:val="24"/>
          <w:szCs w:val="24"/>
          <w:lang w:val="en-US"/>
        </w:rPr>
        <w:t xml:space="preserve"> through a review of articles from Google Scholar, Medline database, and Science Direct (Shahhosseini, Gardeshi, Pourasghar </w:t>
      </w:r>
      <w:r w:rsidR="00133CB5" w:rsidRPr="0020659D">
        <w:rPr>
          <w:rFonts w:ascii="Times New Roman" w:hAnsi="Times New Roman" w:cs="Times New Roman"/>
          <w:sz w:val="24"/>
          <w:szCs w:val="24"/>
          <w:lang w:val="en-US"/>
        </w:rPr>
        <w:t>&amp; Salehi,</w:t>
      </w:r>
      <w:r w:rsidR="00133CB5">
        <w:rPr>
          <w:rFonts w:ascii="Times New Roman" w:hAnsi="Times New Roman" w:cs="Times New Roman"/>
          <w:sz w:val="24"/>
          <w:szCs w:val="24"/>
          <w:lang w:val="en-US"/>
        </w:rPr>
        <w:t xml:space="preserve"> 2014)</w:t>
      </w:r>
      <w:r w:rsidRPr="0020659D">
        <w:rPr>
          <w:rFonts w:ascii="Times New Roman" w:hAnsi="Times New Roman" w:cs="Times New Roman"/>
          <w:sz w:val="24"/>
          <w:szCs w:val="24"/>
          <w:lang w:val="en-US"/>
        </w:rPr>
        <w:t>.</w:t>
      </w:r>
      <w:r w:rsidR="00133CB5">
        <w:rPr>
          <w:rFonts w:ascii="Times New Roman" w:hAnsi="Times New Roman" w:cs="Times New Roman"/>
          <w:sz w:val="24"/>
          <w:szCs w:val="24"/>
          <w:lang w:val="en-US"/>
        </w:rPr>
        <w:t xml:space="preserve"> The 57 selected articles were on sexual satisfaction and function written in the past two decades </w:t>
      </w:r>
      <w:r w:rsidRPr="0020659D">
        <w:rPr>
          <w:rFonts w:ascii="Times New Roman" w:hAnsi="Times New Roman" w:cs="Times New Roman"/>
          <w:sz w:val="24"/>
          <w:szCs w:val="24"/>
          <w:lang w:val="en-US"/>
        </w:rPr>
        <w:t xml:space="preserve"> One factor that is mentioned in the study is demography under which the authors discuss age as it relates to duration of marriage, and the age gap between the spouses age. According to the authors, in the general population sexual satisfaction continues to decrease for women with an increase in age. This is attributed to new emerging tasks including child care in addition to other responsibilities that women are expected to oversee in the community</w:t>
      </w:r>
      <w:r w:rsidR="00133CB5">
        <w:rPr>
          <w:rFonts w:ascii="Times New Roman" w:hAnsi="Times New Roman" w:cs="Times New Roman"/>
          <w:sz w:val="24"/>
          <w:szCs w:val="24"/>
          <w:lang w:val="en-US"/>
        </w:rPr>
        <w:t xml:space="preserve"> (Shahhosseini et al</w:t>
      </w:r>
      <w:r w:rsidR="00133CB5" w:rsidRPr="0020659D">
        <w:rPr>
          <w:rFonts w:ascii="Times New Roman" w:hAnsi="Times New Roman" w:cs="Times New Roman"/>
          <w:sz w:val="24"/>
          <w:szCs w:val="24"/>
          <w:lang w:val="en-US"/>
        </w:rPr>
        <w:t>,</w:t>
      </w:r>
      <w:r w:rsidR="00133CB5">
        <w:rPr>
          <w:rFonts w:ascii="Times New Roman" w:hAnsi="Times New Roman" w:cs="Times New Roman"/>
          <w:sz w:val="24"/>
          <w:szCs w:val="24"/>
          <w:lang w:val="en-US"/>
        </w:rPr>
        <w:t xml:space="preserve"> 2014)</w:t>
      </w:r>
      <w:r w:rsidRPr="0020659D">
        <w:rPr>
          <w:rFonts w:ascii="Times New Roman" w:hAnsi="Times New Roman" w:cs="Times New Roman"/>
          <w:sz w:val="24"/>
          <w:szCs w:val="24"/>
          <w:lang w:val="en-US"/>
        </w:rPr>
        <w:t>.  The authors also explain that, in given demographics, when the age gap between married couples is less (10 years or less) the level of sexual satisfaction is reported to be higher. However, in some cohorts, when the age gap between married couples was 5-6 years higher, the level of sexual satisfaction is usually lower</w:t>
      </w:r>
      <w:r w:rsidR="00133CB5">
        <w:rPr>
          <w:rFonts w:ascii="Times New Roman" w:hAnsi="Times New Roman" w:cs="Times New Roman"/>
          <w:sz w:val="24"/>
          <w:szCs w:val="24"/>
          <w:lang w:val="en-US"/>
        </w:rPr>
        <w:t xml:space="preserve"> (Shahhosseini et al, 2014)</w:t>
      </w:r>
      <w:r w:rsidRPr="0020659D">
        <w:rPr>
          <w:rFonts w:ascii="Times New Roman" w:hAnsi="Times New Roman" w:cs="Times New Roman"/>
          <w:sz w:val="24"/>
          <w:szCs w:val="24"/>
          <w:lang w:val="en-US"/>
        </w:rPr>
        <w:t>.</w:t>
      </w:r>
    </w:p>
    <w:p w14:paraId="51E7574D" w14:textId="7777777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lastRenderedPageBreak/>
        <w:t xml:space="preserve">My critique of this article is that its research terms and subsequent synthesis of the derived articles for inclusion of the study resulted in a sufficient number of articles related to the research topic.  However, although one of the strength of the study is that some of the old articles are dated but remain relevant to current knowledge related to sexual dysfunction. A number of ideas might be outdated. </w:t>
      </w:r>
    </w:p>
    <w:p w14:paraId="330D09AD" w14:textId="77777777" w:rsidR="0004118C" w:rsidRPr="0020659D" w:rsidRDefault="00D93D04" w:rsidP="0020659D">
      <w:pPr>
        <w:pStyle w:val="Heading2"/>
        <w:spacing w:line="480" w:lineRule="auto"/>
        <w:rPr>
          <w:rFonts w:cs="Times New Roman"/>
          <w:szCs w:val="24"/>
          <w:lang w:val="en-US"/>
        </w:rPr>
      </w:pPr>
      <w:r w:rsidRPr="0020659D">
        <w:rPr>
          <w:rFonts w:cs="Times New Roman"/>
          <w:szCs w:val="24"/>
          <w:lang w:val="en-US"/>
        </w:rPr>
        <w:t xml:space="preserve">Research Article 3: Psychosocial and relationship issues in men with erectile dysfunction </w:t>
      </w:r>
    </w:p>
    <w:p w14:paraId="263A2856" w14:textId="7777777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According to this article, erectile dysfunction is not just limited to older men – it affects men of all ages including younger men. The author also discusses numerous effects of erectile dysfunction including functional effects, psychosocial effects, as well as emotional effects. According to Dimeo (2014) the inability of a man to function, that is, to physically maintain or achieve an erection is critical to the male person as well as their sense of maleness. This is the case owing to the fact that maintaining an erection is a highly-prized ability in a man’s hierarchy of functions. This is followed by penile penetration, sexual desire, and ejaculation in that order. Significant to note is the fact that the inability of a man to function sexually greatly affects the role that man plays in the world which in essence means that it takes way that ability.  A part from functional effects, erectile dysfunction also results in psychological effects. This is proven by the fact that among men who suffer from erectile dysfunction, a number are reported to seek professional psychological help. However, many men who suffer from erectile dysfunction may end up not seeking therapy owing to the lack of support from their spouse or alternatively, because of denial or the problem of fear. Men, according to Dimeo, (2014) are also reported to erect barriers in front of themselves making resolving the psychological underpinnings of erectile dysfunction particularly hard. Erectile dysfunction is also attributed to emotional effects including anxiety, low self-esteem, as well as depression. </w:t>
      </w:r>
    </w:p>
    <w:p w14:paraId="202A2311" w14:textId="789ED310" w:rsidR="0004118C" w:rsidRPr="0020659D" w:rsidRDefault="00336992" w:rsidP="0020659D">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My critique of this article is that </w:t>
      </w:r>
      <w:r w:rsidR="00D93D04" w:rsidRPr="0020659D">
        <w:rPr>
          <w:rFonts w:ascii="Times New Roman" w:hAnsi="Times New Roman" w:cs="Times New Roman"/>
          <w:sz w:val="24"/>
          <w:szCs w:val="24"/>
          <w:lang w:val="en-US"/>
        </w:rPr>
        <w:t xml:space="preserve">Dimeo in </w:t>
      </w:r>
      <w:r>
        <w:rPr>
          <w:rFonts w:ascii="Times New Roman" w:hAnsi="Times New Roman" w:cs="Times New Roman"/>
          <w:sz w:val="24"/>
          <w:szCs w:val="24"/>
          <w:lang w:val="en-US"/>
        </w:rPr>
        <w:t>the series</w:t>
      </w:r>
      <w:r w:rsidR="00D93D04" w:rsidRPr="0020659D">
        <w:rPr>
          <w:rFonts w:ascii="Times New Roman" w:hAnsi="Times New Roman" w:cs="Times New Roman"/>
          <w:sz w:val="24"/>
          <w:szCs w:val="24"/>
          <w:lang w:val="en-US"/>
        </w:rPr>
        <w:t xml:space="preserve"> uses a sufficient number of research questions in the survey to find out the respondent’s sexual psychosocial history. The questions are also diverse and cover both the frequency and quality of erections. However, the researcher opts a descriptive approach in presenting the results with no quantitative statistics. </w:t>
      </w:r>
    </w:p>
    <w:p w14:paraId="0B900305" w14:textId="77777777" w:rsidR="0004118C" w:rsidRPr="0020659D" w:rsidRDefault="00D93D04" w:rsidP="0020659D">
      <w:pPr>
        <w:pStyle w:val="Heading1"/>
        <w:spacing w:line="480" w:lineRule="auto"/>
        <w:rPr>
          <w:rFonts w:cs="Times New Roman"/>
          <w:szCs w:val="24"/>
          <w:lang w:val="en-US"/>
        </w:rPr>
      </w:pPr>
      <w:r w:rsidRPr="0020659D">
        <w:rPr>
          <w:rFonts w:cs="Times New Roman"/>
          <w:szCs w:val="24"/>
          <w:lang w:val="en-US"/>
        </w:rPr>
        <w:t>Substance Area 5: INTERPERSONAL RELATIONSHIPS</w:t>
      </w:r>
    </w:p>
    <w:p w14:paraId="2ED08101" w14:textId="77777777" w:rsidR="0004118C" w:rsidRPr="0020659D" w:rsidRDefault="00D93D04" w:rsidP="0020659D">
      <w:pPr>
        <w:pStyle w:val="Heading2"/>
        <w:spacing w:line="480" w:lineRule="auto"/>
        <w:rPr>
          <w:rFonts w:cs="Times New Roman"/>
          <w:szCs w:val="24"/>
          <w:lang w:val="en-US"/>
        </w:rPr>
      </w:pPr>
      <w:r w:rsidRPr="0020659D">
        <w:rPr>
          <w:rFonts w:cs="Times New Roman"/>
          <w:szCs w:val="24"/>
          <w:lang w:val="en-US"/>
        </w:rPr>
        <w:t>Research Article 1: Interpersonal Relations: Cooperation and Competition</w:t>
      </w:r>
    </w:p>
    <w:p w14:paraId="48843651" w14:textId="7ADD996A"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The author</w:t>
      </w:r>
      <w:r w:rsidR="00133CB5">
        <w:rPr>
          <w:rFonts w:ascii="Times New Roman" w:hAnsi="Times New Roman" w:cs="Times New Roman"/>
          <w:sz w:val="24"/>
          <w:szCs w:val="24"/>
          <w:lang w:val="en-US"/>
        </w:rPr>
        <w:t xml:space="preserve">s in this narrative review </w:t>
      </w:r>
      <w:r w:rsidRPr="0020659D">
        <w:rPr>
          <w:rFonts w:ascii="Times New Roman" w:hAnsi="Times New Roman" w:cs="Times New Roman"/>
          <w:sz w:val="24"/>
          <w:szCs w:val="24"/>
          <w:lang w:val="en-US"/>
        </w:rPr>
        <w:t xml:space="preserve"> in this article contends that the social relationships between any given two people requires that the consequences or effects that draw from their continued contact are in part the result of a response </w:t>
      </w:r>
      <w:r w:rsidR="00336992">
        <w:rPr>
          <w:rFonts w:ascii="Times New Roman" w:hAnsi="Times New Roman" w:cs="Times New Roman"/>
          <w:sz w:val="24"/>
          <w:szCs w:val="24"/>
          <w:lang w:val="en-US"/>
        </w:rPr>
        <w:t>o</w:t>
      </w:r>
      <w:r w:rsidRPr="0020659D">
        <w:rPr>
          <w:rFonts w:ascii="Times New Roman" w:hAnsi="Times New Roman" w:cs="Times New Roman"/>
          <w:sz w:val="24"/>
          <w:szCs w:val="24"/>
          <w:lang w:val="en-US"/>
        </w:rPr>
        <w:t xml:space="preserve">f the other party. The author goes on to explain that historically studies have emphasized contingency and cooperation whereby relationships are reinforced by both parties’ responses. However, in their study, the authors focus on finding out the specific contingency that plays a larger role. The authors rationalize their approach on grounds that addressing these area, especially in experimental research will go a long way towards unravelling the relevant controlling variables in the relationship.  One such variable includes the frequency of opportunities to audit others performances, level of face to face interaction, as well as number of participants, not to mention types of reinforcement contingencies. Shmitt (1984) also notes that one of the contingencies that researchers tend to neglect is cost effectiveness – that is the amount of behavior that a given reinforce maintains. The authors conclude by noting that the exchange that typically occurs between subjects is in many cases followed by reinforce inequities and shortages that different parties find aversive. </w:t>
      </w:r>
      <w:r w:rsidR="00336992">
        <w:rPr>
          <w:rFonts w:ascii="Times New Roman" w:hAnsi="Times New Roman" w:cs="Times New Roman"/>
          <w:sz w:val="24"/>
          <w:szCs w:val="24"/>
          <w:lang w:val="en-US"/>
        </w:rPr>
        <w:t>The authors concludes that despite the fact that experimental analysis of interpersonal relations is rooted in behavior analysis principles, there are notable distinctive features. The author report</w:t>
      </w:r>
      <w:r w:rsidR="001B5DC7">
        <w:rPr>
          <w:rFonts w:ascii="Times New Roman" w:hAnsi="Times New Roman" w:cs="Times New Roman"/>
          <w:sz w:val="24"/>
          <w:szCs w:val="24"/>
          <w:lang w:val="en-US"/>
        </w:rPr>
        <w:t>s</w:t>
      </w:r>
      <w:r w:rsidR="00336992">
        <w:rPr>
          <w:rFonts w:ascii="Times New Roman" w:hAnsi="Times New Roman" w:cs="Times New Roman"/>
          <w:sz w:val="24"/>
          <w:szCs w:val="24"/>
          <w:lang w:val="en-US"/>
        </w:rPr>
        <w:t xml:space="preserve"> contending variables such as proportion of members that remain in the group for a long time, interaction patterns among group members, as well as range and variability of members</w:t>
      </w:r>
      <w:r w:rsidR="001B5DC7">
        <w:rPr>
          <w:rFonts w:ascii="Times New Roman" w:hAnsi="Times New Roman" w:cs="Times New Roman"/>
          <w:sz w:val="24"/>
          <w:szCs w:val="24"/>
          <w:lang w:val="en-US"/>
        </w:rPr>
        <w:t xml:space="preserve"> (Schmitt, 1984)</w:t>
      </w:r>
      <w:r w:rsidR="00336992">
        <w:rPr>
          <w:rFonts w:ascii="Times New Roman" w:hAnsi="Times New Roman" w:cs="Times New Roman"/>
          <w:sz w:val="24"/>
          <w:szCs w:val="24"/>
          <w:lang w:val="en-US"/>
        </w:rPr>
        <w:t xml:space="preserve">. </w:t>
      </w:r>
    </w:p>
    <w:p w14:paraId="1324ADED" w14:textId="7777777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My critique of this article is that Schmitt in his review of interpersonal relations divides the topic into subareas thus allows the reader to synthesize the data in constituent blocks. One of the major strengths of the article is the fact it employs a sufficient number of references to support the authors claims and comments on several areas including influence of group size and cost effectiveness. </w:t>
      </w:r>
    </w:p>
    <w:p w14:paraId="0131112D" w14:textId="77777777" w:rsidR="0004118C" w:rsidRPr="0020659D" w:rsidRDefault="00D93D04" w:rsidP="0020659D">
      <w:pPr>
        <w:pStyle w:val="Heading2"/>
        <w:spacing w:line="480" w:lineRule="auto"/>
        <w:rPr>
          <w:rFonts w:cs="Times New Roman"/>
          <w:szCs w:val="24"/>
          <w:lang w:val="en-US"/>
        </w:rPr>
      </w:pPr>
      <w:r w:rsidRPr="0020659D">
        <w:rPr>
          <w:rFonts w:cs="Times New Roman"/>
          <w:szCs w:val="24"/>
          <w:lang w:val="en-US"/>
        </w:rPr>
        <w:t>Research Article 2: Human communication and effective interpersonal relationships: An analysis of client counseling and emotional stability.</w:t>
      </w:r>
    </w:p>
    <w:p w14:paraId="526CA80A" w14:textId="77777777" w:rsidR="0004118C" w:rsidRPr="0020659D" w:rsidRDefault="00D93D04" w:rsidP="0020659D">
      <w:pPr>
        <w:pStyle w:val="Heading2"/>
        <w:spacing w:line="480" w:lineRule="auto"/>
        <w:rPr>
          <w:rFonts w:cs="Times New Roman"/>
          <w:szCs w:val="24"/>
          <w:lang w:val="en-US"/>
        </w:rPr>
      </w:pPr>
      <w:r w:rsidRPr="0020659D">
        <w:rPr>
          <w:rFonts w:cs="Times New Roman"/>
          <w:szCs w:val="24"/>
          <w:lang w:val="en-US"/>
        </w:rPr>
        <w:t xml:space="preserve"> </w:t>
      </w:r>
    </w:p>
    <w:p w14:paraId="2D77666B" w14:textId="02557D56" w:rsidR="0004118C" w:rsidRPr="0020659D" w:rsidRDefault="00D93D04" w:rsidP="0020659D">
      <w:pPr>
        <w:spacing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ab/>
        <w:t xml:space="preserve"> In this study, the Okoro and Adigwe</w:t>
      </w:r>
      <w:r w:rsidR="00133CB5">
        <w:rPr>
          <w:rFonts w:ascii="Times New Roman" w:hAnsi="Times New Roman" w:cs="Times New Roman"/>
          <w:sz w:val="24"/>
          <w:szCs w:val="24"/>
          <w:lang w:val="en-US"/>
        </w:rPr>
        <w:t>, (2016)</w:t>
      </w:r>
      <w:r w:rsidRPr="0020659D">
        <w:rPr>
          <w:rFonts w:ascii="Times New Roman" w:hAnsi="Times New Roman" w:cs="Times New Roman"/>
          <w:sz w:val="24"/>
          <w:szCs w:val="24"/>
          <w:lang w:val="en-US"/>
        </w:rPr>
        <w:t xml:space="preserve"> focus on the role of interpersonal communication in client counselling contexts with the aim of developing stability and long lasting client-counsellor relationships. The researchers, based on analysis of content related to the interactions between counselors and clients, in addition to literature reviews, personal discussions and interviews, they conclude that effective interpersonal communication is a central factor in the achievement of high level client recovery, speedy compliance, as well as enhanced self-awareness. In their review, the authors analyze the role of psychology in communication discussing several practice and responsibilities implications. They note that in practice, the role of the counsellor is to reduce their client’s personal and interpersonal distress as well as neurotic anxiety. In order for a counsellor to carry out their roles effectively they need to remain informed about different areas of knowledge and a good comprehension of all issues in the patient’s context. Significant to note is the fact that by deploying strategic approaches in interpersonal communication, it can go a long way towards improving the relationship between counsellors and their clients. However, counsellors need to experiment with new communication strategies and approaches.   The authors also tackle the interpersonal relationships, self-awareness, and social relationships. According to the authors, a social relationship is crucial in sustaining the relationship between the counselor and their client</w:t>
      </w:r>
      <w:r w:rsidR="003C7B5B">
        <w:rPr>
          <w:rFonts w:ascii="Times New Roman" w:hAnsi="Times New Roman" w:cs="Times New Roman"/>
          <w:sz w:val="24"/>
          <w:szCs w:val="24"/>
          <w:lang w:val="en-US"/>
        </w:rPr>
        <w:t xml:space="preserve"> (</w:t>
      </w:r>
      <w:r w:rsidR="003C7B5B" w:rsidRPr="0020659D">
        <w:rPr>
          <w:rFonts w:ascii="Times New Roman" w:hAnsi="Times New Roman" w:cs="Times New Roman"/>
          <w:sz w:val="24"/>
          <w:szCs w:val="24"/>
          <w:lang w:val="en-US"/>
        </w:rPr>
        <w:t>Okoro and Adigwe</w:t>
      </w:r>
      <w:r w:rsidR="003C7B5B">
        <w:rPr>
          <w:rFonts w:ascii="Times New Roman" w:hAnsi="Times New Roman" w:cs="Times New Roman"/>
          <w:sz w:val="24"/>
          <w:szCs w:val="24"/>
          <w:lang w:val="en-US"/>
        </w:rPr>
        <w:t>, 2014)</w:t>
      </w:r>
      <w:r w:rsidRPr="0020659D">
        <w:rPr>
          <w:rFonts w:ascii="Times New Roman" w:hAnsi="Times New Roman" w:cs="Times New Roman"/>
          <w:sz w:val="24"/>
          <w:szCs w:val="24"/>
          <w:lang w:val="en-US"/>
        </w:rPr>
        <w:t xml:space="preserve">. Key to this relationship is interpersonal communication skills. </w:t>
      </w:r>
    </w:p>
    <w:p w14:paraId="58A0F38E" w14:textId="7777777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My critique of this article is the fact that the meta-analysis of various studies support the studies hypothesis that the quality of interpersonal relationships between clients and their counsellors plays a major role in improving the former’s self-esteem as well as emotional stability. However, the meta-analysis is thinly spread whereby the reader has to strive to link disparate sections into a single flowing read. </w:t>
      </w:r>
    </w:p>
    <w:p w14:paraId="31AC82E0" w14:textId="77777777" w:rsidR="0004118C" w:rsidRPr="0020659D" w:rsidRDefault="00D93D04" w:rsidP="0020659D">
      <w:pPr>
        <w:pStyle w:val="Heading2"/>
        <w:spacing w:line="480" w:lineRule="auto"/>
        <w:rPr>
          <w:rFonts w:cs="Times New Roman"/>
          <w:szCs w:val="24"/>
          <w:lang w:val="en-US"/>
        </w:rPr>
      </w:pPr>
      <w:r w:rsidRPr="0020659D">
        <w:rPr>
          <w:rFonts w:cs="Times New Roman"/>
          <w:szCs w:val="24"/>
          <w:lang w:val="en-US"/>
        </w:rPr>
        <w:t>Research Article 3: The impact of past relationships on interpersonal behavior: Behavioral confirmation in the social-cognitive process of transference</w:t>
      </w:r>
    </w:p>
    <w:p w14:paraId="4225A19E" w14:textId="77777777" w:rsidR="0004118C" w:rsidRPr="0020659D" w:rsidRDefault="00D93D04" w:rsidP="0020659D">
      <w:pPr>
        <w:pStyle w:val="Heading2"/>
        <w:spacing w:line="480" w:lineRule="auto"/>
        <w:rPr>
          <w:rFonts w:cs="Times New Roman"/>
          <w:szCs w:val="24"/>
          <w:lang w:val="en-US"/>
        </w:rPr>
      </w:pPr>
      <w:r w:rsidRPr="0020659D">
        <w:rPr>
          <w:rFonts w:cs="Times New Roman"/>
          <w:szCs w:val="24"/>
          <w:lang w:val="en-US"/>
        </w:rPr>
        <w:t xml:space="preserve"> </w:t>
      </w:r>
    </w:p>
    <w:p w14:paraId="38B606DC" w14:textId="2EFA18A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This research extended previous studies on social perception and transference. The authors note that if transference affects social relations, it therefore follows that it has a place in interpersonal behavior between two individuals</w:t>
      </w:r>
      <w:r w:rsidR="00847359">
        <w:rPr>
          <w:rFonts w:ascii="Times New Roman" w:hAnsi="Times New Roman" w:cs="Times New Roman"/>
          <w:sz w:val="24"/>
          <w:szCs w:val="24"/>
          <w:lang w:val="en-US"/>
        </w:rPr>
        <w:t xml:space="preserve"> (Berk </w:t>
      </w:r>
      <w:r w:rsidR="00847359" w:rsidRPr="0020659D">
        <w:rPr>
          <w:rFonts w:ascii="Times New Roman" w:hAnsi="Times New Roman" w:cs="Times New Roman"/>
          <w:sz w:val="24"/>
          <w:szCs w:val="24"/>
          <w:lang w:val="en-US"/>
        </w:rPr>
        <w:t>&amp; Andersen</w:t>
      </w:r>
      <w:r w:rsidR="00847359">
        <w:rPr>
          <w:rFonts w:ascii="Times New Roman" w:hAnsi="Times New Roman" w:cs="Times New Roman"/>
          <w:sz w:val="24"/>
          <w:szCs w:val="24"/>
          <w:lang w:val="en-US"/>
        </w:rPr>
        <w:t>, 2000)</w:t>
      </w:r>
      <w:r w:rsidRPr="0020659D">
        <w:rPr>
          <w:rFonts w:ascii="Times New Roman" w:hAnsi="Times New Roman" w:cs="Times New Roman"/>
          <w:sz w:val="24"/>
          <w:szCs w:val="24"/>
          <w:lang w:val="en-US"/>
        </w:rPr>
        <w:t>. The hypothesis that the authors assert in relation to social-cognitive model, and which falls at the center of the concept of transference, presumes that the social-cognitive model has a significant impact on interpersonal relationships. This draws from studies that have illustrated that the relational connections between one individual and the other that reside in both parties’ memories are usually set in motion during transference together with the significant other’s representations</w:t>
      </w:r>
      <w:r w:rsidR="00847359">
        <w:rPr>
          <w:rFonts w:ascii="Times New Roman" w:hAnsi="Times New Roman" w:cs="Times New Roman"/>
          <w:sz w:val="24"/>
          <w:szCs w:val="24"/>
          <w:lang w:val="en-US"/>
        </w:rPr>
        <w:t xml:space="preserve"> (Berk </w:t>
      </w:r>
      <w:r w:rsidR="00847359" w:rsidRPr="0020659D">
        <w:rPr>
          <w:rFonts w:ascii="Times New Roman" w:hAnsi="Times New Roman" w:cs="Times New Roman"/>
          <w:sz w:val="24"/>
          <w:szCs w:val="24"/>
          <w:lang w:val="en-US"/>
        </w:rPr>
        <w:t>&amp; Andersen</w:t>
      </w:r>
      <w:r w:rsidR="00847359">
        <w:rPr>
          <w:rFonts w:ascii="Times New Roman" w:hAnsi="Times New Roman" w:cs="Times New Roman"/>
          <w:sz w:val="24"/>
          <w:szCs w:val="24"/>
          <w:lang w:val="en-US"/>
        </w:rPr>
        <w:t>, 2000)</w:t>
      </w:r>
      <w:r w:rsidRPr="0020659D">
        <w:rPr>
          <w:rFonts w:ascii="Times New Roman" w:hAnsi="Times New Roman" w:cs="Times New Roman"/>
          <w:sz w:val="24"/>
          <w:szCs w:val="24"/>
          <w:lang w:val="en-US"/>
        </w:rPr>
        <w:t xml:space="preserve">. Significant to note is the fact that this relationship should be invoked in the course of transference which in essence should have implications for interpersonal behavior. In relation to social cognition and transference, the authors note that in individual’s social cognition, the basic presumption in clinical practice usually presumes that transference operates in accordance with social cognitive rules. In the resulting model, the activation as well as subsequent invoking of significant other representation to be used in interpreting a new individual is thus thought to be critical for transference to occur. </w:t>
      </w:r>
    </w:p>
    <w:p w14:paraId="3A32054E" w14:textId="77777777" w:rsidR="0004118C" w:rsidRPr="0020659D" w:rsidRDefault="00D93D04"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My critique of this study is that it used a large enough sample whereby the study’s findings could be generalized on a research population. The researchers surveyed 240 undergraduates taking introductory psychology at a university in New York. Moreover, the study was also diversified with females comprising of 120 </w:t>
      </w:r>
      <w:bookmarkStart w:id="2" w:name="_Hlk483776769"/>
      <w:bookmarkEnd w:id="2"/>
      <w:r w:rsidRPr="0020659D">
        <w:rPr>
          <w:rFonts w:ascii="Times New Roman" w:hAnsi="Times New Roman" w:cs="Times New Roman"/>
          <w:sz w:val="24"/>
          <w:szCs w:val="24"/>
          <w:lang w:val="en-US"/>
        </w:rPr>
        <w:t xml:space="preserve">of the respondents while the rest were male. </w:t>
      </w:r>
    </w:p>
    <w:p w14:paraId="2C0263F1" w14:textId="77777777" w:rsidR="0004118C" w:rsidRPr="0020659D" w:rsidRDefault="0004118C" w:rsidP="0020659D">
      <w:pPr>
        <w:spacing w:line="480" w:lineRule="auto"/>
        <w:ind w:firstLine="720"/>
        <w:rPr>
          <w:rFonts w:ascii="Times New Roman" w:hAnsi="Times New Roman" w:cs="Times New Roman"/>
          <w:sz w:val="24"/>
          <w:szCs w:val="24"/>
          <w:lang w:val="en-US"/>
        </w:rPr>
      </w:pPr>
    </w:p>
    <w:p w14:paraId="72C0EFE3" w14:textId="77777777" w:rsidR="0004118C" w:rsidRPr="0020659D" w:rsidRDefault="0004118C" w:rsidP="0020659D">
      <w:pPr>
        <w:spacing w:line="480" w:lineRule="auto"/>
        <w:ind w:firstLine="720"/>
        <w:rPr>
          <w:rFonts w:ascii="Times New Roman" w:hAnsi="Times New Roman" w:cs="Times New Roman"/>
          <w:sz w:val="24"/>
          <w:szCs w:val="24"/>
          <w:lang w:val="en-US"/>
        </w:rPr>
      </w:pPr>
    </w:p>
    <w:p w14:paraId="6EBFC169" w14:textId="77777777" w:rsidR="0004118C" w:rsidRPr="0020659D" w:rsidRDefault="0004118C" w:rsidP="0020659D">
      <w:pPr>
        <w:spacing w:line="480" w:lineRule="auto"/>
        <w:ind w:firstLine="720"/>
        <w:rPr>
          <w:rFonts w:ascii="Times New Roman" w:hAnsi="Times New Roman" w:cs="Times New Roman"/>
          <w:sz w:val="24"/>
          <w:szCs w:val="24"/>
          <w:lang w:val="en-US"/>
        </w:rPr>
      </w:pPr>
    </w:p>
    <w:p w14:paraId="4D6BD35A" w14:textId="77777777" w:rsidR="0004118C" w:rsidRPr="0020659D" w:rsidRDefault="0004118C" w:rsidP="0020659D">
      <w:pPr>
        <w:spacing w:line="480" w:lineRule="auto"/>
        <w:rPr>
          <w:rFonts w:ascii="Times New Roman" w:hAnsi="Times New Roman" w:cs="Times New Roman"/>
          <w:sz w:val="24"/>
          <w:szCs w:val="24"/>
          <w:lang w:val="en-US"/>
        </w:rPr>
      </w:pPr>
    </w:p>
    <w:p w14:paraId="3C98076D" w14:textId="77777777" w:rsidR="0004118C" w:rsidRDefault="0004118C" w:rsidP="0020659D">
      <w:pPr>
        <w:spacing w:line="480" w:lineRule="auto"/>
        <w:rPr>
          <w:rFonts w:ascii="Times New Roman" w:hAnsi="Times New Roman" w:cs="Times New Roman"/>
          <w:sz w:val="24"/>
          <w:szCs w:val="24"/>
          <w:lang w:val="en-US"/>
        </w:rPr>
      </w:pPr>
    </w:p>
    <w:p w14:paraId="4B908B05" w14:textId="77777777" w:rsidR="00847359" w:rsidRDefault="00847359" w:rsidP="0020659D">
      <w:pPr>
        <w:spacing w:line="480" w:lineRule="auto"/>
        <w:rPr>
          <w:rFonts w:ascii="Times New Roman" w:hAnsi="Times New Roman" w:cs="Times New Roman"/>
          <w:sz w:val="24"/>
          <w:szCs w:val="24"/>
          <w:lang w:val="en-US"/>
        </w:rPr>
      </w:pPr>
    </w:p>
    <w:p w14:paraId="03321C2E" w14:textId="77777777" w:rsidR="00847359" w:rsidRDefault="00847359" w:rsidP="0020659D">
      <w:pPr>
        <w:spacing w:line="480" w:lineRule="auto"/>
        <w:rPr>
          <w:rFonts w:ascii="Times New Roman" w:hAnsi="Times New Roman" w:cs="Times New Roman"/>
          <w:sz w:val="24"/>
          <w:szCs w:val="24"/>
          <w:lang w:val="en-US"/>
        </w:rPr>
      </w:pPr>
    </w:p>
    <w:p w14:paraId="346FD0A0" w14:textId="77777777" w:rsidR="00847359" w:rsidRDefault="00847359" w:rsidP="0020659D">
      <w:pPr>
        <w:spacing w:line="480" w:lineRule="auto"/>
        <w:rPr>
          <w:rFonts w:ascii="Times New Roman" w:hAnsi="Times New Roman" w:cs="Times New Roman"/>
          <w:sz w:val="24"/>
          <w:szCs w:val="24"/>
          <w:lang w:val="en-US"/>
        </w:rPr>
      </w:pPr>
    </w:p>
    <w:p w14:paraId="40A361A5" w14:textId="77777777" w:rsidR="00847359" w:rsidRDefault="00847359" w:rsidP="0020659D">
      <w:pPr>
        <w:spacing w:line="480" w:lineRule="auto"/>
        <w:rPr>
          <w:rFonts w:ascii="Times New Roman" w:hAnsi="Times New Roman" w:cs="Times New Roman"/>
          <w:sz w:val="24"/>
          <w:szCs w:val="24"/>
          <w:lang w:val="en-US"/>
        </w:rPr>
      </w:pPr>
    </w:p>
    <w:p w14:paraId="56E5C76A" w14:textId="77777777" w:rsidR="00847359" w:rsidRDefault="00847359" w:rsidP="0020659D">
      <w:pPr>
        <w:spacing w:line="480" w:lineRule="auto"/>
        <w:rPr>
          <w:rFonts w:ascii="Times New Roman" w:hAnsi="Times New Roman" w:cs="Times New Roman"/>
          <w:sz w:val="24"/>
          <w:szCs w:val="24"/>
          <w:lang w:val="en-US"/>
        </w:rPr>
      </w:pPr>
    </w:p>
    <w:p w14:paraId="48200A7E" w14:textId="77777777" w:rsidR="00847359" w:rsidRDefault="00847359" w:rsidP="0020659D">
      <w:pPr>
        <w:spacing w:line="480" w:lineRule="auto"/>
        <w:rPr>
          <w:rFonts w:ascii="Times New Roman" w:hAnsi="Times New Roman" w:cs="Times New Roman"/>
          <w:sz w:val="24"/>
          <w:szCs w:val="24"/>
          <w:lang w:val="en-US"/>
        </w:rPr>
      </w:pPr>
    </w:p>
    <w:p w14:paraId="103F6D93" w14:textId="77777777" w:rsidR="00847359" w:rsidRDefault="00847359" w:rsidP="0020659D">
      <w:pPr>
        <w:spacing w:line="480" w:lineRule="auto"/>
        <w:rPr>
          <w:rFonts w:ascii="Times New Roman" w:hAnsi="Times New Roman" w:cs="Times New Roman"/>
          <w:sz w:val="24"/>
          <w:szCs w:val="24"/>
          <w:lang w:val="en-US"/>
        </w:rPr>
      </w:pPr>
    </w:p>
    <w:p w14:paraId="6C5B6629" w14:textId="77777777" w:rsidR="00847359" w:rsidRDefault="00847359" w:rsidP="0020659D">
      <w:pPr>
        <w:spacing w:line="480" w:lineRule="auto"/>
        <w:rPr>
          <w:rFonts w:ascii="Times New Roman" w:hAnsi="Times New Roman" w:cs="Times New Roman"/>
          <w:sz w:val="24"/>
          <w:szCs w:val="24"/>
          <w:lang w:val="en-US"/>
        </w:rPr>
      </w:pPr>
    </w:p>
    <w:p w14:paraId="096B10DC" w14:textId="77777777" w:rsidR="00847359" w:rsidRPr="0020659D" w:rsidRDefault="00847359" w:rsidP="0020659D">
      <w:pPr>
        <w:spacing w:line="480" w:lineRule="auto"/>
        <w:rPr>
          <w:rFonts w:ascii="Times New Roman" w:hAnsi="Times New Roman" w:cs="Times New Roman"/>
          <w:sz w:val="24"/>
          <w:szCs w:val="24"/>
          <w:lang w:val="en-US"/>
        </w:rPr>
      </w:pPr>
    </w:p>
    <w:p w14:paraId="2F61B15F" w14:textId="77777777" w:rsidR="0004118C" w:rsidRPr="0020659D" w:rsidRDefault="00D93D04" w:rsidP="0020659D">
      <w:pPr>
        <w:spacing w:after="0" w:line="480" w:lineRule="auto"/>
        <w:jc w:val="center"/>
        <w:rPr>
          <w:rFonts w:ascii="Times New Roman" w:hAnsi="Times New Roman" w:cs="Times New Roman"/>
          <w:sz w:val="24"/>
          <w:szCs w:val="24"/>
          <w:lang w:val="en-US"/>
        </w:rPr>
      </w:pPr>
      <w:r w:rsidRPr="0020659D">
        <w:rPr>
          <w:rFonts w:ascii="Times New Roman" w:hAnsi="Times New Roman" w:cs="Times New Roman"/>
          <w:sz w:val="24"/>
          <w:szCs w:val="24"/>
          <w:lang w:val="en-US"/>
        </w:rPr>
        <w:t>References</w:t>
      </w:r>
    </w:p>
    <w:p w14:paraId="51DE5C02" w14:textId="77777777" w:rsidR="0004118C" w:rsidRPr="0020659D" w:rsidRDefault="00D93D04" w:rsidP="0020659D">
      <w:pPr>
        <w:spacing w:after="0"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Adigwe, P. &amp; Okoro, E. (2016) Human Communication and Effective Interpersonal  </w:t>
      </w:r>
    </w:p>
    <w:p w14:paraId="5A7C920A" w14:textId="77777777" w:rsidR="0004118C" w:rsidRPr="0020659D" w:rsidRDefault="00D93D04" w:rsidP="0020659D">
      <w:pPr>
        <w:spacing w:line="480" w:lineRule="auto"/>
        <w:ind w:left="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Relationships: An Analysis of Client Counseling and Emotional Stability. </w:t>
      </w:r>
      <w:r w:rsidRPr="0020659D">
        <w:rPr>
          <w:rFonts w:ascii="Times New Roman" w:hAnsi="Times New Roman" w:cs="Times New Roman"/>
          <w:i/>
          <w:sz w:val="24"/>
          <w:szCs w:val="24"/>
          <w:lang w:val="en-US"/>
        </w:rPr>
        <w:t>International Journal of economics &amp; Management Sciences</w:t>
      </w:r>
      <w:r w:rsidRPr="0020659D">
        <w:rPr>
          <w:rFonts w:ascii="Times New Roman" w:hAnsi="Times New Roman" w:cs="Times New Roman"/>
          <w:sz w:val="24"/>
          <w:szCs w:val="24"/>
          <w:lang w:val="en-US"/>
        </w:rPr>
        <w:t xml:space="preserve"> 5(3) 1-4 http://dx.doi.org/10.4172/2162-6359.1000336</w:t>
      </w:r>
    </w:p>
    <w:p w14:paraId="77FB7740" w14:textId="77777777" w:rsidR="0004118C" w:rsidRPr="0020659D" w:rsidRDefault="00D93D04" w:rsidP="0020659D">
      <w:pPr>
        <w:spacing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Baghban, I., Maleikha, M. &amp; Fatehizadeh, M. (2010) The relationship between work-family  </w:t>
      </w:r>
    </w:p>
    <w:p w14:paraId="051AC87E" w14:textId="77777777" w:rsidR="0004118C" w:rsidRPr="0020659D" w:rsidRDefault="00D93D04" w:rsidP="0020659D">
      <w:pPr>
        <w:spacing w:line="480" w:lineRule="auto"/>
        <w:ind w:left="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conflict and the level of self-efficacy in female nurses in Alzahra Hospital, </w:t>
      </w:r>
      <w:r w:rsidRPr="0020659D">
        <w:rPr>
          <w:rFonts w:ascii="Times New Roman" w:hAnsi="Times New Roman" w:cs="Times New Roman"/>
          <w:i/>
          <w:sz w:val="24"/>
          <w:szCs w:val="24"/>
          <w:lang w:val="en-US"/>
        </w:rPr>
        <w:t xml:space="preserve">Iran J. Nurs Midwifery Res. </w:t>
      </w:r>
      <w:r w:rsidRPr="0020659D">
        <w:rPr>
          <w:rFonts w:ascii="Times New Roman" w:hAnsi="Times New Roman" w:cs="Times New Roman"/>
          <w:sz w:val="24"/>
          <w:szCs w:val="24"/>
          <w:lang w:val="en-US"/>
        </w:rPr>
        <w:t>15(4) 190-194</w:t>
      </w:r>
    </w:p>
    <w:p w14:paraId="6F8A2F29" w14:textId="77777777" w:rsidR="0004118C" w:rsidRPr="0020659D" w:rsidRDefault="00D93D04" w:rsidP="0020659D">
      <w:pPr>
        <w:spacing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Berk, M.S. &amp; Andersen, S.M. (2000). The impact of past relationships on interpersonal  </w:t>
      </w:r>
    </w:p>
    <w:p w14:paraId="23402A3D" w14:textId="77777777" w:rsidR="0004118C" w:rsidRPr="0020659D" w:rsidRDefault="00D93D04" w:rsidP="0020659D">
      <w:pPr>
        <w:spacing w:line="480" w:lineRule="auto"/>
        <w:ind w:left="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behavior: Behavioral confirmation in the social-cognitive process of transference, </w:t>
      </w:r>
      <w:r w:rsidRPr="0020659D">
        <w:rPr>
          <w:rFonts w:ascii="Times New Roman" w:hAnsi="Times New Roman" w:cs="Times New Roman"/>
          <w:i/>
          <w:sz w:val="24"/>
          <w:szCs w:val="24"/>
          <w:lang w:val="en-US"/>
        </w:rPr>
        <w:t>Journal of personality and Social Psychology</w:t>
      </w:r>
      <w:r w:rsidRPr="0020659D">
        <w:rPr>
          <w:rFonts w:ascii="Times New Roman" w:hAnsi="Times New Roman" w:cs="Times New Roman"/>
          <w:sz w:val="24"/>
          <w:szCs w:val="24"/>
          <w:lang w:val="en-US"/>
        </w:rPr>
        <w:t>, 79(4) 546-562, DOI: 10.1037//0022-3514.79.4.546</w:t>
      </w:r>
    </w:p>
    <w:p w14:paraId="6FA120D4" w14:textId="77777777" w:rsidR="0004118C" w:rsidRPr="0020659D" w:rsidRDefault="00D93D04" w:rsidP="0020659D">
      <w:pPr>
        <w:spacing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Callina, K.S. Ryan, D. Murray, E.D. Colby, A., Damon. W. Mathews, M. &amp; Lerner, R.M  </w:t>
      </w:r>
    </w:p>
    <w:p w14:paraId="13754779" w14:textId="77777777" w:rsidR="0004118C" w:rsidRPr="0020659D" w:rsidRDefault="00D93D04" w:rsidP="0020659D">
      <w:pPr>
        <w:spacing w:line="480" w:lineRule="auto"/>
        <w:ind w:left="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(2017). Developing leaders of character at the United States military academy: A Relational Developmental Systems Analysis, </w:t>
      </w:r>
      <w:r w:rsidRPr="0020659D">
        <w:rPr>
          <w:rFonts w:ascii="Times New Roman" w:hAnsi="Times New Roman" w:cs="Times New Roman"/>
          <w:i/>
          <w:sz w:val="24"/>
          <w:szCs w:val="24"/>
          <w:lang w:val="en-US"/>
        </w:rPr>
        <w:t>Journal of College Character</w:t>
      </w:r>
      <w:r w:rsidRPr="0020659D">
        <w:rPr>
          <w:rFonts w:ascii="Times New Roman" w:hAnsi="Times New Roman" w:cs="Times New Roman"/>
          <w:sz w:val="24"/>
          <w:szCs w:val="24"/>
          <w:lang w:val="en-US"/>
        </w:rPr>
        <w:t>, 1940-1639, doi: http://dx.doi.org/10.1080/2194587X.2016.1260475</w:t>
      </w:r>
    </w:p>
    <w:p w14:paraId="1543BA83" w14:textId="77777777" w:rsidR="0004118C" w:rsidRPr="0020659D" w:rsidRDefault="00D93D04" w:rsidP="0020659D">
      <w:pPr>
        <w:spacing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Clement, S. &amp; Bollinger, R. (2017) Accelerating progress: A New Era of Research on  </w:t>
      </w:r>
    </w:p>
    <w:p w14:paraId="6256E6FD" w14:textId="77777777" w:rsidR="0004118C" w:rsidRPr="0020659D" w:rsidRDefault="00D93D04" w:rsidP="0020659D">
      <w:pPr>
        <w:spacing w:line="480" w:lineRule="auto"/>
        <w:ind w:left="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Character Development, </w:t>
      </w:r>
      <w:r w:rsidRPr="0020659D">
        <w:rPr>
          <w:rFonts w:ascii="Times New Roman" w:hAnsi="Times New Roman" w:cs="Times New Roman"/>
          <w:i/>
          <w:sz w:val="24"/>
          <w:szCs w:val="24"/>
          <w:lang w:val="en-US"/>
        </w:rPr>
        <w:t>J Youth Adolescence</w:t>
      </w:r>
      <w:r w:rsidRPr="0020659D">
        <w:rPr>
          <w:rFonts w:ascii="Times New Roman" w:hAnsi="Times New Roman" w:cs="Times New Roman"/>
          <w:sz w:val="24"/>
          <w:szCs w:val="24"/>
          <w:lang w:val="en-US"/>
        </w:rPr>
        <w:t xml:space="preserve"> 46:1240-1245, DOI 10.1007/s10964-017-0681-9</w:t>
      </w:r>
    </w:p>
    <w:p w14:paraId="14E56CFB" w14:textId="77777777" w:rsidR="00816A86" w:rsidRPr="0020659D" w:rsidRDefault="00816A86" w:rsidP="0020659D">
      <w:pPr>
        <w:spacing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Cruea, S.M. (2005). Changing ideals of womanhood during the nineteenth-century woman  </w:t>
      </w:r>
    </w:p>
    <w:p w14:paraId="3576384F" w14:textId="68FF41C3" w:rsidR="00816A86" w:rsidRPr="0020659D" w:rsidRDefault="00816A86"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Movement, </w:t>
      </w:r>
      <w:r w:rsidRPr="0020659D">
        <w:rPr>
          <w:rFonts w:ascii="Times New Roman" w:hAnsi="Times New Roman" w:cs="Times New Roman"/>
          <w:i/>
          <w:sz w:val="24"/>
          <w:szCs w:val="24"/>
          <w:lang w:val="en-US"/>
        </w:rPr>
        <w:t>The Journal of Religious History</w:t>
      </w:r>
      <w:r w:rsidRPr="0020659D">
        <w:rPr>
          <w:rFonts w:ascii="Times New Roman" w:hAnsi="Times New Roman" w:cs="Times New Roman"/>
          <w:sz w:val="24"/>
          <w:szCs w:val="24"/>
          <w:lang w:val="en-US"/>
        </w:rPr>
        <w:t xml:space="preserve"> 23.2 (1999): 185-202.</w:t>
      </w:r>
    </w:p>
    <w:p w14:paraId="3AE868FA" w14:textId="77777777" w:rsidR="0004118C" w:rsidRPr="0020659D" w:rsidRDefault="00D93D04" w:rsidP="0020659D">
      <w:pPr>
        <w:spacing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Dimeo, P. (2014) Psychosocial and relationship issues in men with erectile dysfunction,  </w:t>
      </w:r>
    </w:p>
    <w:p w14:paraId="01101C56" w14:textId="77777777" w:rsidR="0004118C" w:rsidRPr="0020659D" w:rsidRDefault="00D93D04" w:rsidP="0020659D">
      <w:pPr>
        <w:spacing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 </w:t>
      </w:r>
      <w:r w:rsidRPr="0020659D">
        <w:rPr>
          <w:rFonts w:ascii="Times New Roman" w:hAnsi="Times New Roman" w:cs="Times New Roman"/>
          <w:sz w:val="24"/>
          <w:szCs w:val="24"/>
          <w:lang w:val="en-US"/>
        </w:rPr>
        <w:tab/>
        <w:t>Retrieved on May 28, 2017 from: https://www.researchgate.net/publication/6550966</w:t>
      </w:r>
    </w:p>
    <w:p w14:paraId="621BB6BA" w14:textId="77777777" w:rsidR="0004118C" w:rsidRPr="0020659D" w:rsidRDefault="00D93D04" w:rsidP="0020659D">
      <w:pPr>
        <w:spacing w:line="480" w:lineRule="auto"/>
        <w:rPr>
          <w:rFonts w:ascii="Times New Roman" w:hAnsi="Times New Roman" w:cs="Times New Roman"/>
          <w:i/>
          <w:sz w:val="24"/>
          <w:szCs w:val="24"/>
          <w:lang w:val="en-US"/>
        </w:rPr>
      </w:pPr>
      <w:r w:rsidRPr="0020659D">
        <w:rPr>
          <w:rFonts w:ascii="Times New Roman" w:hAnsi="Times New Roman" w:cs="Times New Roman"/>
          <w:sz w:val="24"/>
          <w:szCs w:val="24"/>
          <w:lang w:val="en-US"/>
        </w:rPr>
        <w:t xml:space="preserve">Edinyang, S.D. (2012). Conflict management in the family, </w:t>
      </w:r>
      <w:r w:rsidRPr="0020659D">
        <w:rPr>
          <w:rFonts w:ascii="Times New Roman" w:hAnsi="Times New Roman" w:cs="Times New Roman"/>
          <w:i/>
          <w:sz w:val="24"/>
          <w:szCs w:val="24"/>
          <w:lang w:val="en-US"/>
        </w:rPr>
        <w:t xml:space="preserve">Research on Humanities and  </w:t>
      </w:r>
    </w:p>
    <w:p w14:paraId="5C3DF335" w14:textId="77777777" w:rsidR="0004118C" w:rsidRPr="0020659D" w:rsidRDefault="00D93D04" w:rsidP="0020659D">
      <w:pPr>
        <w:spacing w:line="480" w:lineRule="auto"/>
        <w:rPr>
          <w:rFonts w:ascii="Times New Roman" w:hAnsi="Times New Roman" w:cs="Times New Roman"/>
          <w:sz w:val="24"/>
          <w:szCs w:val="24"/>
          <w:lang w:val="en-US"/>
        </w:rPr>
      </w:pPr>
      <w:r w:rsidRPr="0020659D">
        <w:rPr>
          <w:rFonts w:ascii="Times New Roman" w:hAnsi="Times New Roman" w:cs="Times New Roman"/>
          <w:i/>
          <w:sz w:val="24"/>
          <w:szCs w:val="24"/>
          <w:lang w:val="en-US"/>
        </w:rPr>
        <w:t xml:space="preserve"> </w:t>
      </w:r>
      <w:r w:rsidRPr="0020659D">
        <w:rPr>
          <w:rFonts w:ascii="Times New Roman" w:hAnsi="Times New Roman" w:cs="Times New Roman"/>
          <w:i/>
          <w:sz w:val="24"/>
          <w:szCs w:val="24"/>
          <w:lang w:val="en-US"/>
        </w:rPr>
        <w:tab/>
        <w:t>social sciences</w:t>
      </w:r>
      <w:r w:rsidRPr="0020659D">
        <w:rPr>
          <w:rFonts w:ascii="Times New Roman" w:hAnsi="Times New Roman" w:cs="Times New Roman"/>
          <w:sz w:val="24"/>
          <w:szCs w:val="24"/>
          <w:lang w:val="en-US"/>
        </w:rPr>
        <w:t>, 2(8 )2222 -2863</w:t>
      </w:r>
    </w:p>
    <w:p w14:paraId="4FA8244D" w14:textId="77777777" w:rsidR="0004118C" w:rsidRPr="0020659D" w:rsidRDefault="00D93D04" w:rsidP="0020659D">
      <w:pPr>
        <w:spacing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Fariba, F. Savabi, M. &amp; Mohamadirizi, S., (2015). Relationship of sexual dysfunction and its  </w:t>
      </w:r>
    </w:p>
    <w:p w14:paraId="008574F8" w14:textId="77777777" w:rsidR="0004118C" w:rsidRPr="0020659D" w:rsidRDefault="00D93D04" w:rsidP="0020659D">
      <w:pPr>
        <w:spacing w:line="480" w:lineRule="auto"/>
        <w:ind w:left="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associated factors in women with genital and breast cancers, </w:t>
      </w:r>
      <w:r w:rsidRPr="0020659D">
        <w:rPr>
          <w:rFonts w:ascii="Times New Roman" w:hAnsi="Times New Roman" w:cs="Times New Roman"/>
          <w:i/>
          <w:sz w:val="24"/>
          <w:szCs w:val="24"/>
          <w:lang w:val="en-US"/>
        </w:rPr>
        <w:t>Iran J Nurs Midwifery Res</w:t>
      </w:r>
      <w:r w:rsidRPr="0020659D">
        <w:rPr>
          <w:rFonts w:ascii="Times New Roman" w:hAnsi="Times New Roman" w:cs="Times New Roman"/>
          <w:sz w:val="24"/>
          <w:szCs w:val="24"/>
          <w:lang w:val="en-US"/>
        </w:rPr>
        <w:t>. 2015 Jul-Aug; 20(4): 516–520. doi:  10.4103/1735-9066.161008</w:t>
      </w:r>
    </w:p>
    <w:p w14:paraId="217F3676" w14:textId="77777777" w:rsidR="0004118C" w:rsidRPr="0020659D" w:rsidRDefault="00D93D04" w:rsidP="0020659D">
      <w:pPr>
        <w:spacing w:line="480" w:lineRule="auto"/>
        <w:rPr>
          <w:rFonts w:ascii="Times New Roman" w:hAnsi="Times New Roman" w:cs="Times New Roman"/>
          <w:i/>
          <w:sz w:val="24"/>
          <w:szCs w:val="24"/>
          <w:lang w:val="en-US"/>
        </w:rPr>
      </w:pPr>
      <w:r w:rsidRPr="0020659D">
        <w:rPr>
          <w:rFonts w:ascii="Times New Roman" w:hAnsi="Times New Roman" w:cs="Times New Roman"/>
          <w:sz w:val="24"/>
          <w:szCs w:val="24"/>
          <w:lang w:val="en-US"/>
        </w:rPr>
        <w:t xml:space="preserve">Moran, S. (2016) what do teachers think about youth purpose, </w:t>
      </w:r>
      <w:r w:rsidRPr="0020659D">
        <w:rPr>
          <w:rFonts w:ascii="Times New Roman" w:hAnsi="Times New Roman" w:cs="Times New Roman"/>
          <w:i/>
          <w:sz w:val="24"/>
          <w:szCs w:val="24"/>
          <w:lang w:val="en-US"/>
        </w:rPr>
        <w:t xml:space="preserve">  Journal of education and  </w:t>
      </w:r>
    </w:p>
    <w:p w14:paraId="2859139A" w14:textId="2FF2CE77" w:rsidR="0004118C" w:rsidRPr="0020659D" w:rsidRDefault="00D93D04" w:rsidP="0020659D">
      <w:pPr>
        <w:spacing w:line="480" w:lineRule="auto"/>
        <w:rPr>
          <w:rStyle w:val="InternetLink"/>
          <w:rFonts w:ascii="Times New Roman" w:hAnsi="Times New Roman" w:cs="Times New Roman"/>
          <w:color w:val="auto"/>
          <w:sz w:val="24"/>
          <w:szCs w:val="24"/>
        </w:rPr>
      </w:pPr>
      <w:r w:rsidRPr="0020659D">
        <w:rPr>
          <w:rFonts w:ascii="Times New Roman" w:hAnsi="Times New Roman" w:cs="Times New Roman"/>
          <w:i/>
          <w:sz w:val="24"/>
          <w:szCs w:val="24"/>
          <w:lang w:val="en-US"/>
        </w:rPr>
        <w:t xml:space="preserve"> </w:t>
      </w:r>
      <w:r w:rsidRPr="0020659D">
        <w:rPr>
          <w:rFonts w:ascii="Times New Roman" w:hAnsi="Times New Roman" w:cs="Times New Roman"/>
          <w:i/>
          <w:sz w:val="24"/>
          <w:szCs w:val="24"/>
          <w:lang w:val="en-US"/>
        </w:rPr>
        <w:tab/>
        <w:t xml:space="preserve">teaching, 1360-0540 </w:t>
      </w:r>
      <w:r w:rsidRPr="0020659D">
        <w:rPr>
          <w:rFonts w:ascii="Times New Roman" w:hAnsi="Times New Roman" w:cs="Times New Roman"/>
          <w:sz w:val="24"/>
          <w:szCs w:val="24"/>
          <w:lang w:val="en-US"/>
        </w:rPr>
        <w:t xml:space="preserve">doi: </w:t>
      </w:r>
      <w:r w:rsidRPr="0020659D">
        <w:rPr>
          <w:rStyle w:val="InternetLink"/>
          <w:rFonts w:ascii="Times New Roman" w:hAnsi="Times New Roman" w:cs="Times New Roman"/>
          <w:color w:val="auto"/>
          <w:sz w:val="24"/>
          <w:szCs w:val="24"/>
        </w:rPr>
        <w:t>http://dx.doi.org/10.1080/02607476.2016.1226556</w:t>
      </w:r>
    </w:p>
    <w:p w14:paraId="006561B2" w14:textId="77777777" w:rsidR="00B6279A" w:rsidRPr="0020659D" w:rsidRDefault="00B6279A" w:rsidP="0020659D">
      <w:pPr>
        <w:spacing w:line="480" w:lineRule="auto"/>
        <w:rPr>
          <w:rFonts w:ascii="Times New Roman" w:hAnsi="Times New Roman" w:cs="Times New Roman"/>
          <w:sz w:val="24"/>
          <w:szCs w:val="24"/>
        </w:rPr>
      </w:pPr>
      <w:r w:rsidRPr="0020659D">
        <w:rPr>
          <w:rFonts w:ascii="Times New Roman" w:hAnsi="Times New Roman" w:cs="Times New Roman"/>
          <w:sz w:val="24"/>
          <w:szCs w:val="24"/>
        </w:rPr>
        <w:t xml:space="preserve">Richardson, T.H. (2010). From Syphilitic to Suffragist: The Woman’s Journal and the  </w:t>
      </w:r>
    </w:p>
    <w:p w14:paraId="3C1EC398" w14:textId="278D2921" w:rsidR="00B6279A" w:rsidRPr="0020659D" w:rsidRDefault="00B6279A" w:rsidP="0020659D">
      <w:pPr>
        <w:spacing w:line="480" w:lineRule="auto"/>
        <w:ind w:left="720"/>
        <w:rPr>
          <w:rFonts w:ascii="Times New Roman" w:hAnsi="Times New Roman" w:cs="Times New Roman"/>
          <w:sz w:val="24"/>
          <w:szCs w:val="24"/>
        </w:rPr>
      </w:pPr>
      <w:r w:rsidRPr="0020659D">
        <w:rPr>
          <w:rFonts w:ascii="Times New Roman" w:hAnsi="Times New Roman" w:cs="Times New Roman"/>
          <w:sz w:val="24"/>
          <w:szCs w:val="24"/>
        </w:rPr>
        <w:t>Negotiation of Walt Whitman’s Celebrity, 28(1)36-53 doi: http://dx.doi.org/10.13008/2153-3695.1950</w:t>
      </w:r>
    </w:p>
    <w:p w14:paraId="7C51C067" w14:textId="77777777" w:rsidR="0004118C" w:rsidRPr="0020659D" w:rsidRDefault="00D93D04" w:rsidP="0020659D">
      <w:pPr>
        <w:spacing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Roskos, P.T. Handal, P.J. Ubinger, M.E. (2010). Family conflict resolution: Its measurement  </w:t>
      </w:r>
    </w:p>
    <w:p w14:paraId="674F17DE" w14:textId="77777777" w:rsidR="0004118C" w:rsidRPr="0020659D" w:rsidRDefault="00D93D04" w:rsidP="0020659D">
      <w:pPr>
        <w:spacing w:line="480" w:lineRule="auto"/>
        <w:ind w:left="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and relationship with family conflict and psychological adjustment, </w:t>
      </w:r>
      <w:r w:rsidRPr="0020659D">
        <w:rPr>
          <w:rFonts w:ascii="Times New Roman" w:hAnsi="Times New Roman" w:cs="Times New Roman"/>
          <w:i/>
          <w:sz w:val="24"/>
          <w:szCs w:val="24"/>
          <w:lang w:val="en-US"/>
        </w:rPr>
        <w:t>Psychology</w:t>
      </w:r>
      <w:r w:rsidRPr="0020659D">
        <w:rPr>
          <w:rFonts w:ascii="Times New Roman" w:hAnsi="Times New Roman" w:cs="Times New Roman"/>
          <w:sz w:val="24"/>
          <w:szCs w:val="24"/>
          <w:lang w:val="en-US"/>
        </w:rPr>
        <w:t xml:space="preserve"> 1(5) DOI:10.4236/psych.2010.15046</w:t>
      </w:r>
    </w:p>
    <w:p w14:paraId="60538194" w14:textId="77777777" w:rsidR="0004118C" w:rsidRPr="0020659D" w:rsidRDefault="00D93D04" w:rsidP="0020659D">
      <w:pPr>
        <w:spacing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Shahhosseini, H. Gardeshi, Z.H. Pourasghar, M. &amp; Salehi, F. (2014). A Review of affecting  </w:t>
      </w:r>
    </w:p>
    <w:p w14:paraId="7E9EF41C" w14:textId="77777777" w:rsidR="0004118C" w:rsidRPr="0020659D" w:rsidRDefault="00D93D04" w:rsidP="0020659D">
      <w:pPr>
        <w:spacing w:line="480" w:lineRule="auto"/>
        <w:ind w:left="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factors on sexual satisfaction, </w:t>
      </w:r>
      <w:r w:rsidRPr="0020659D">
        <w:rPr>
          <w:rFonts w:ascii="Times New Roman" w:hAnsi="Times New Roman" w:cs="Times New Roman"/>
          <w:i/>
          <w:sz w:val="24"/>
          <w:szCs w:val="24"/>
          <w:lang w:val="en-US"/>
        </w:rPr>
        <w:t>Mater Sociomed</w:t>
      </w:r>
      <w:r w:rsidRPr="0020659D">
        <w:rPr>
          <w:rFonts w:ascii="Times New Roman" w:hAnsi="Times New Roman" w:cs="Times New Roman"/>
          <w:sz w:val="24"/>
          <w:szCs w:val="24"/>
          <w:lang w:val="en-US"/>
        </w:rPr>
        <w:t xml:space="preserve"> 014 Dec; 26(6): 378–381. Published online 2014 Dec 14. doi:  10.5455/msm.2014.26.378-381</w:t>
      </w:r>
    </w:p>
    <w:p w14:paraId="632A3AD6" w14:textId="77777777" w:rsidR="00B6279A" w:rsidRPr="0020659D" w:rsidRDefault="00B6279A" w:rsidP="0020659D">
      <w:pPr>
        <w:spacing w:line="480" w:lineRule="auto"/>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Sheehy, M &amp; Ji, H. (2011). Framing the ideal woman in Esquire’s Women we Love, 1987- </w:t>
      </w:r>
    </w:p>
    <w:p w14:paraId="2A73B956" w14:textId="66200094" w:rsidR="00B6279A" w:rsidRPr="0020659D" w:rsidRDefault="00B6279A" w:rsidP="0020659D">
      <w:pPr>
        <w:spacing w:line="480" w:lineRule="auto"/>
        <w:ind w:firstLine="720"/>
        <w:rPr>
          <w:rFonts w:ascii="Times New Roman" w:hAnsi="Times New Roman" w:cs="Times New Roman"/>
          <w:sz w:val="24"/>
          <w:szCs w:val="24"/>
          <w:lang w:val="en-US"/>
        </w:rPr>
      </w:pPr>
      <w:r w:rsidRPr="0020659D">
        <w:rPr>
          <w:rFonts w:ascii="Times New Roman" w:hAnsi="Times New Roman" w:cs="Times New Roman"/>
          <w:sz w:val="24"/>
          <w:szCs w:val="24"/>
          <w:lang w:val="en-US"/>
        </w:rPr>
        <w:t xml:space="preserve">2006, </w:t>
      </w:r>
      <w:r w:rsidRPr="0020659D">
        <w:rPr>
          <w:rFonts w:ascii="Times New Roman" w:hAnsi="Times New Roman" w:cs="Times New Roman"/>
          <w:i/>
          <w:sz w:val="24"/>
          <w:szCs w:val="24"/>
          <w:lang w:val="en-US"/>
        </w:rPr>
        <w:t>Journal of Magazine and New Media Research</w:t>
      </w:r>
      <w:r w:rsidRPr="0020659D">
        <w:rPr>
          <w:rFonts w:ascii="Times New Roman" w:hAnsi="Times New Roman" w:cs="Times New Roman"/>
          <w:sz w:val="24"/>
          <w:szCs w:val="24"/>
          <w:lang w:val="en-US"/>
        </w:rPr>
        <w:t>, 12(2)1-17</w:t>
      </w:r>
    </w:p>
    <w:p w14:paraId="3307E536" w14:textId="77777777" w:rsidR="0004118C" w:rsidRPr="0020659D" w:rsidRDefault="00D93D04" w:rsidP="0020659D">
      <w:pPr>
        <w:spacing w:line="480" w:lineRule="auto"/>
        <w:rPr>
          <w:rFonts w:ascii="Times New Roman" w:hAnsi="Times New Roman" w:cs="Times New Roman"/>
          <w:i/>
          <w:sz w:val="24"/>
          <w:szCs w:val="24"/>
          <w:lang w:val="en-US"/>
        </w:rPr>
      </w:pPr>
      <w:r w:rsidRPr="0020659D">
        <w:rPr>
          <w:rFonts w:ascii="Times New Roman" w:hAnsi="Times New Roman" w:cs="Times New Roman"/>
          <w:sz w:val="24"/>
          <w:szCs w:val="24"/>
          <w:lang w:val="en-US"/>
        </w:rPr>
        <w:t xml:space="preserve">Shmitt, D.R. (1984). Interpersonal Relations: Cooperation and Competition, </w:t>
      </w:r>
      <w:r w:rsidRPr="0020659D">
        <w:rPr>
          <w:rFonts w:ascii="Times New Roman" w:hAnsi="Times New Roman" w:cs="Times New Roman"/>
          <w:i/>
          <w:sz w:val="24"/>
          <w:szCs w:val="24"/>
          <w:lang w:val="en-US"/>
        </w:rPr>
        <w:t xml:space="preserve">J Exp Anal  </w:t>
      </w:r>
    </w:p>
    <w:p w14:paraId="50F11904" w14:textId="77777777" w:rsidR="0004118C" w:rsidRPr="0020659D" w:rsidRDefault="00D93D04" w:rsidP="0020659D">
      <w:pPr>
        <w:spacing w:line="480" w:lineRule="auto"/>
        <w:rPr>
          <w:rFonts w:ascii="Times New Roman" w:hAnsi="Times New Roman" w:cs="Times New Roman"/>
          <w:sz w:val="24"/>
          <w:szCs w:val="24"/>
          <w:lang w:val="en-US"/>
        </w:rPr>
      </w:pPr>
      <w:r w:rsidRPr="0020659D">
        <w:rPr>
          <w:rFonts w:ascii="Times New Roman" w:hAnsi="Times New Roman" w:cs="Times New Roman"/>
          <w:i/>
          <w:sz w:val="24"/>
          <w:szCs w:val="24"/>
          <w:lang w:val="en-US"/>
        </w:rPr>
        <w:t xml:space="preserve"> </w:t>
      </w:r>
      <w:r w:rsidRPr="0020659D">
        <w:rPr>
          <w:rFonts w:ascii="Times New Roman" w:hAnsi="Times New Roman" w:cs="Times New Roman"/>
          <w:i/>
          <w:sz w:val="24"/>
          <w:szCs w:val="24"/>
          <w:lang w:val="en-US"/>
        </w:rPr>
        <w:tab/>
        <w:t>Behav.</w:t>
      </w:r>
      <w:r w:rsidRPr="0020659D">
        <w:rPr>
          <w:rFonts w:ascii="Times New Roman" w:hAnsi="Times New Roman" w:cs="Times New Roman"/>
          <w:sz w:val="24"/>
          <w:szCs w:val="24"/>
          <w:lang w:val="en-US"/>
        </w:rPr>
        <w:t xml:space="preserve"> 1984 Nov; 42(3): 377–383. doi:  10.1901/jeab.1984.42-377</w:t>
      </w:r>
    </w:p>
    <w:p w14:paraId="6017D91C" w14:textId="77777777" w:rsidR="0004118C" w:rsidRPr="0020659D" w:rsidRDefault="0004118C" w:rsidP="0020659D">
      <w:pPr>
        <w:spacing w:line="480" w:lineRule="auto"/>
        <w:rPr>
          <w:rFonts w:ascii="Times New Roman" w:hAnsi="Times New Roman" w:cs="Times New Roman"/>
          <w:sz w:val="24"/>
          <w:szCs w:val="24"/>
          <w:lang w:val="en-US"/>
        </w:rPr>
      </w:pPr>
    </w:p>
    <w:p w14:paraId="0DF0E237" w14:textId="77777777" w:rsidR="0004118C" w:rsidRPr="0020659D" w:rsidRDefault="0004118C" w:rsidP="0020659D">
      <w:pPr>
        <w:spacing w:line="480" w:lineRule="auto"/>
        <w:rPr>
          <w:rFonts w:ascii="Times New Roman" w:hAnsi="Times New Roman" w:cs="Times New Roman"/>
          <w:sz w:val="24"/>
          <w:szCs w:val="24"/>
        </w:rPr>
      </w:pPr>
    </w:p>
    <w:p w14:paraId="6D22FFB1" w14:textId="77777777" w:rsidR="0004118C" w:rsidRPr="0020659D" w:rsidRDefault="0004118C" w:rsidP="0020659D">
      <w:pPr>
        <w:spacing w:line="480" w:lineRule="auto"/>
        <w:rPr>
          <w:rFonts w:ascii="Times New Roman" w:hAnsi="Times New Roman" w:cs="Times New Roman"/>
          <w:sz w:val="24"/>
          <w:szCs w:val="24"/>
        </w:rPr>
      </w:pPr>
    </w:p>
    <w:sectPr w:rsidR="0004118C" w:rsidRPr="0020659D">
      <w:headerReference w:type="default" r:id="rId7"/>
      <w:headerReference w:type="first" r:id="rId8"/>
      <w:pgSz w:w="11906" w:h="16838"/>
      <w:pgMar w:top="1440" w:right="1440" w:bottom="1440" w:left="1440" w:header="720" w:footer="0"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F8437" w14:textId="77777777" w:rsidR="0051211D" w:rsidRDefault="0051211D">
      <w:pPr>
        <w:spacing w:after="0" w:line="240" w:lineRule="auto"/>
      </w:pPr>
      <w:r>
        <w:separator/>
      </w:r>
    </w:p>
  </w:endnote>
  <w:endnote w:type="continuationSeparator" w:id="0">
    <w:p w14:paraId="45CD7DBA" w14:textId="77777777" w:rsidR="0051211D" w:rsidRDefault="00512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roman"/>
    <w:pitch w:val="variable"/>
  </w:font>
  <w:font w:name="Noto Sans CJK SC Regular">
    <w:panose1 w:val="00000000000000000000"/>
    <w:charset w:val="00"/>
    <w:family w:val="roman"/>
    <w:notTrueType/>
    <w:pitch w:val="default"/>
  </w:font>
  <w:font w:name="FreeSans">
    <w:altName w:val="Calibri"/>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DF1068" w14:textId="77777777" w:rsidR="0051211D" w:rsidRDefault="0051211D">
      <w:pPr>
        <w:spacing w:after="0" w:line="240" w:lineRule="auto"/>
      </w:pPr>
      <w:r>
        <w:separator/>
      </w:r>
    </w:p>
  </w:footnote>
  <w:footnote w:type="continuationSeparator" w:id="0">
    <w:p w14:paraId="29D64E45" w14:textId="77777777" w:rsidR="0051211D" w:rsidRDefault="00512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694909"/>
      <w:docPartObj>
        <w:docPartGallery w:val="Page Numbers (Top of Page)"/>
        <w:docPartUnique/>
      </w:docPartObj>
    </w:sdtPr>
    <w:sdtEndPr/>
    <w:sdtContent>
      <w:p w14:paraId="0BF8D4FA" w14:textId="7CBBF365" w:rsidR="0004118C" w:rsidRDefault="00D93D04">
        <w:pPr>
          <w:pStyle w:val="Header"/>
        </w:pPr>
        <w:r>
          <w:rPr>
            <w:rFonts w:ascii="Times New Roman" w:hAnsi="Times New Roman" w:cs="Times New Roman"/>
            <w:sz w:val="24"/>
            <w:szCs w:val="24"/>
            <w:shd w:val="clear" w:color="auto" w:fill="FFFFFF"/>
          </w:rPr>
          <w:t>NCFR SUBSTANCE AREAS 1-5</w:t>
        </w:r>
        <w:r>
          <w:rPr>
            <w:rFonts w:ascii="Times New Roman" w:hAnsi="Times New Roman" w:cs="Times New Roman"/>
            <w:sz w:val="24"/>
            <w:szCs w:val="24"/>
          </w:rPr>
          <w:tab/>
          <w:t xml:space="preserve">                                                                                        </w:t>
        </w:r>
        <w:r>
          <w:rPr>
            <w:rFonts w:ascii="Times New Roman" w:hAnsi="Times New Roman" w:cs="Times New Roman"/>
            <w:sz w:val="24"/>
            <w:szCs w:val="24"/>
          </w:rPr>
          <w:fldChar w:fldCharType="begin"/>
        </w:r>
        <w:r>
          <w:instrText>PAGE</w:instrText>
        </w:r>
        <w:r>
          <w:fldChar w:fldCharType="separate"/>
        </w:r>
        <w:r w:rsidR="00B43BC1">
          <w:rPr>
            <w:noProof/>
          </w:rPr>
          <w:t>3</w:t>
        </w:r>
        <w:r>
          <w:fldChar w:fldCharType="end"/>
        </w:r>
      </w:p>
    </w:sdtContent>
  </w:sdt>
  <w:p w14:paraId="640F3051" w14:textId="77777777" w:rsidR="0004118C" w:rsidRDefault="000411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F2D98" w14:textId="77777777" w:rsidR="0004118C" w:rsidRDefault="00D93D04">
    <w:pPr>
      <w:pStyle w:val="Header"/>
      <w:rPr>
        <w:rFonts w:ascii="Times New Roman" w:hAnsi="Times New Roman" w:cs="Times New Roman"/>
        <w:sz w:val="24"/>
        <w:szCs w:val="24"/>
        <w:lang w:val="en-US"/>
      </w:rPr>
    </w:pPr>
    <w:r>
      <w:rPr>
        <w:rFonts w:ascii="Times New Roman" w:hAnsi="Times New Roman" w:cs="Times New Roman"/>
        <w:sz w:val="24"/>
        <w:szCs w:val="24"/>
        <w:lang w:val="en-US"/>
      </w:rPr>
      <w:t xml:space="preserve">Running head: </w:t>
    </w:r>
    <w:bookmarkStart w:id="3" w:name="_Hlk483776065"/>
    <w:bookmarkEnd w:id="3"/>
    <w:r>
      <w:rPr>
        <w:rFonts w:ascii="Times New Roman" w:hAnsi="Times New Roman" w:cs="Times New Roman"/>
        <w:sz w:val="24"/>
        <w:szCs w:val="24"/>
        <w:shd w:val="clear" w:color="auto" w:fill="FFFFFF"/>
      </w:rPr>
      <w:t xml:space="preserve">NCFR SUBSTANCE AREAS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18C"/>
    <w:rsid w:val="0004118C"/>
    <w:rsid w:val="00094A07"/>
    <w:rsid w:val="000B21BA"/>
    <w:rsid w:val="000B5154"/>
    <w:rsid w:val="00133CB5"/>
    <w:rsid w:val="001B5DC7"/>
    <w:rsid w:val="0020659D"/>
    <w:rsid w:val="00336992"/>
    <w:rsid w:val="003C7B5B"/>
    <w:rsid w:val="003F1B0A"/>
    <w:rsid w:val="00497D04"/>
    <w:rsid w:val="004E5172"/>
    <w:rsid w:val="0051211D"/>
    <w:rsid w:val="005B78CC"/>
    <w:rsid w:val="006D5368"/>
    <w:rsid w:val="00807AD5"/>
    <w:rsid w:val="00816A86"/>
    <w:rsid w:val="00847359"/>
    <w:rsid w:val="00856628"/>
    <w:rsid w:val="00B43BC1"/>
    <w:rsid w:val="00B6279A"/>
    <w:rsid w:val="00C25DE0"/>
    <w:rsid w:val="00CD44D9"/>
    <w:rsid w:val="00D12D49"/>
    <w:rsid w:val="00D93D04"/>
    <w:rsid w:val="00DE70A5"/>
    <w:rsid w:val="00E33B68"/>
    <w:rsid w:val="00E353C8"/>
    <w:rsid w:val="00E41979"/>
    <w:rsid w:val="00EB26B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F8EEA"/>
  <w15:docId w15:val="{6D9A186E-C5BC-45F5-973D-64EBB471B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2B29D9"/>
    <w:pPr>
      <w:keepNext/>
      <w:keepLines/>
      <w:spacing w:before="240" w:after="0"/>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2B29D9"/>
    <w:pPr>
      <w:keepNext/>
      <w:keepLines/>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0A3F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B29D9"/>
  </w:style>
  <w:style w:type="character" w:customStyle="1" w:styleId="FooterChar">
    <w:name w:val="Footer Char"/>
    <w:basedOn w:val="DefaultParagraphFont"/>
    <w:link w:val="Footer"/>
    <w:uiPriority w:val="99"/>
    <w:qFormat/>
    <w:rsid w:val="002B29D9"/>
  </w:style>
  <w:style w:type="character" w:customStyle="1" w:styleId="Heading1Char">
    <w:name w:val="Heading 1 Char"/>
    <w:basedOn w:val="DefaultParagraphFont"/>
    <w:link w:val="Heading1"/>
    <w:uiPriority w:val="9"/>
    <w:qFormat/>
    <w:rsid w:val="002B29D9"/>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qFormat/>
    <w:rsid w:val="002B29D9"/>
    <w:rPr>
      <w:rFonts w:ascii="Times New Roman" w:eastAsiaTheme="majorEastAsia" w:hAnsi="Times New Roman" w:cstheme="majorBidi"/>
      <w:b/>
      <w:sz w:val="24"/>
      <w:szCs w:val="26"/>
    </w:rPr>
  </w:style>
  <w:style w:type="character" w:customStyle="1" w:styleId="InternetLink">
    <w:name w:val="Internet Link"/>
    <w:basedOn w:val="DefaultParagraphFont"/>
    <w:uiPriority w:val="99"/>
    <w:unhideWhenUsed/>
    <w:rsid w:val="002B29D9"/>
    <w:rPr>
      <w:color w:val="0563C1" w:themeColor="hyperlink"/>
      <w:u w:val="single"/>
    </w:rPr>
  </w:style>
  <w:style w:type="character" w:customStyle="1" w:styleId="Heading3Char">
    <w:name w:val="Heading 3 Char"/>
    <w:basedOn w:val="DefaultParagraphFont"/>
    <w:link w:val="Heading3"/>
    <w:uiPriority w:val="9"/>
    <w:qFormat/>
    <w:rsid w:val="000A3FF7"/>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qFormat/>
    <w:rsid w:val="00C77653"/>
    <w:rPr>
      <w:sz w:val="16"/>
      <w:szCs w:val="16"/>
    </w:rPr>
  </w:style>
  <w:style w:type="character" w:customStyle="1" w:styleId="CommentTextChar">
    <w:name w:val="Comment Text Char"/>
    <w:basedOn w:val="DefaultParagraphFont"/>
    <w:link w:val="CommentText"/>
    <w:uiPriority w:val="99"/>
    <w:semiHidden/>
    <w:qFormat/>
    <w:rsid w:val="00C77653"/>
    <w:rPr>
      <w:sz w:val="20"/>
      <w:szCs w:val="20"/>
    </w:rPr>
  </w:style>
  <w:style w:type="character" w:customStyle="1" w:styleId="CommentSubjectChar">
    <w:name w:val="Comment Subject Char"/>
    <w:basedOn w:val="CommentTextChar"/>
    <w:link w:val="CommentSubject"/>
    <w:uiPriority w:val="99"/>
    <w:semiHidden/>
    <w:qFormat/>
    <w:rsid w:val="00C77653"/>
    <w:rPr>
      <w:b/>
      <w:bCs/>
      <w:sz w:val="20"/>
      <w:szCs w:val="20"/>
    </w:rPr>
  </w:style>
  <w:style w:type="character" w:customStyle="1" w:styleId="BalloonTextChar">
    <w:name w:val="Balloon Text Char"/>
    <w:basedOn w:val="DefaultParagraphFont"/>
    <w:link w:val="BalloonText"/>
    <w:uiPriority w:val="99"/>
    <w:semiHidden/>
    <w:qFormat/>
    <w:rsid w:val="00C77653"/>
    <w:rPr>
      <w:rFonts w:ascii="Segoe UI" w:hAnsi="Segoe UI" w:cs="Segoe UI"/>
      <w:sz w:val="18"/>
      <w:szCs w:val="18"/>
    </w:rPr>
  </w:style>
  <w:style w:type="character" w:styleId="FollowedHyperlink">
    <w:name w:val="FollowedHyperlink"/>
    <w:basedOn w:val="DefaultParagraphFont"/>
    <w:uiPriority w:val="99"/>
    <w:semiHidden/>
    <w:unhideWhenUsed/>
    <w:qFormat/>
    <w:rsid w:val="00C77653"/>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Header">
    <w:name w:val="header"/>
    <w:basedOn w:val="Normal"/>
    <w:link w:val="HeaderChar"/>
    <w:uiPriority w:val="99"/>
    <w:unhideWhenUsed/>
    <w:rsid w:val="002B29D9"/>
    <w:pPr>
      <w:tabs>
        <w:tab w:val="center" w:pos="4513"/>
        <w:tab w:val="right" w:pos="9026"/>
      </w:tabs>
      <w:spacing w:after="0" w:line="240" w:lineRule="auto"/>
    </w:pPr>
  </w:style>
  <w:style w:type="paragraph" w:styleId="Footer">
    <w:name w:val="footer"/>
    <w:basedOn w:val="Normal"/>
    <w:link w:val="FooterChar"/>
    <w:uiPriority w:val="99"/>
    <w:unhideWhenUsed/>
    <w:rsid w:val="002B29D9"/>
    <w:pPr>
      <w:tabs>
        <w:tab w:val="center" w:pos="4513"/>
        <w:tab w:val="right" w:pos="9026"/>
      </w:tabs>
      <w:spacing w:after="0" w:line="240" w:lineRule="auto"/>
    </w:pPr>
  </w:style>
  <w:style w:type="paragraph" w:styleId="CommentText">
    <w:name w:val="annotation text"/>
    <w:basedOn w:val="Normal"/>
    <w:link w:val="CommentTextChar"/>
    <w:uiPriority w:val="99"/>
    <w:semiHidden/>
    <w:unhideWhenUsed/>
    <w:qFormat/>
    <w:rsid w:val="00C77653"/>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C77653"/>
    <w:rPr>
      <w:b/>
      <w:bCs/>
    </w:rPr>
  </w:style>
  <w:style w:type="paragraph" w:styleId="BalloonText">
    <w:name w:val="Balloon Text"/>
    <w:basedOn w:val="Normal"/>
    <w:link w:val="BalloonTextChar"/>
    <w:uiPriority w:val="99"/>
    <w:semiHidden/>
    <w:unhideWhenUsed/>
    <w:qFormat/>
    <w:rsid w:val="00C77653"/>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2A356-6F0B-400E-9785-FB16C76C4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14</Pages>
  <Words>5438</Words>
  <Characters>30997</Characters>
  <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36363</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language>en-US</dc:language>
  <revision>0</revision>
</coreProperties>
</file>

<file path=docProps/custom.xml><?xml version="1.0" encoding="utf-8"?>
<Properties xmlns="http://schemas.openxmlformats.org/officeDocument/2006/custom-properties" xmlns:vt="http://schemas.openxmlformats.org/officeDocument/2006/docPropsVTypes"/>
</file>