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2F" w:rsidRPr="00FD232F" w:rsidRDefault="00FD232F" w:rsidP="00FD232F">
      <w:pPr>
        <w:shd w:val="clear" w:color="auto" w:fill="FFFFFF"/>
        <w:spacing w:before="90" w:after="90" w:line="240" w:lineRule="auto"/>
        <w:outlineLvl w:val="1"/>
        <w:rPr>
          <w:rFonts w:ascii="Century" w:eastAsia="Times New Roman" w:hAnsi="Century" w:cs="Helvetica"/>
          <w:b/>
          <w:color w:val="002664"/>
          <w:sz w:val="24"/>
          <w:szCs w:val="24"/>
        </w:rPr>
      </w:pPr>
      <w:bookmarkStart w:id="0" w:name="_GoBack"/>
      <w:r w:rsidRPr="00FD232F">
        <w:rPr>
          <w:rFonts w:ascii="Century" w:eastAsia="Times New Roman" w:hAnsi="Century" w:cs="Helvetica"/>
          <w:b/>
          <w:color w:val="002664"/>
          <w:sz w:val="24"/>
          <w:szCs w:val="24"/>
        </w:rPr>
        <w:t>Required Resources</w:t>
      </w:r>
    </w:p>
    <w:bookmarkEnd w:id="0"/>
    <w:p w:rsidR="00FD232F" w:rsidRPr="00FD232F" w:rsidRDefault="00FD232F" w:rsidP="00FD232F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FD232F">
        <w:rPr>
          <w:rFonts w:ascii="Century" w:eastAsia="Times New Roman" w:hAnsi="Century" w:cs="Helvetica"/>
          <w:color w:val="621B4B"/>
          <w:sz w:val="24"/>
          <w:szCs w:val="24"/>
        </w:rPr>
        <w:t>Required Text</w:t>
      </w:r>
    </w:p>
    <w:p w:rsidR="00FD232F" w:rsidRPr="00FD232F" w:rsidRDefault="00FD232F" w:rsidP="00FD232F">
      <w:pPr>
        <w:shd w:val="clear" w:color="auto" w:fill="FFFFFF"/>
        <w:spacing w:before="180" w:after="18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1. </w:t>
      </w:r>
      <w:proofErr w:type="spellStart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Poliner</w:t>
      </w:r>
      <w:proofErr w:type="spellEnd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 Shapiro, J., Stefkovich, J. (2011). </w:t>
      </w:r>
      <w:r w:rsidRPr="00FD232F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Ethical leadership and decision making in education: Applying theoretical perspectives to complex dilemmas</w:t>
      </w: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 (3rd </w:t>
      </w:r>
      <w:proofErr w:type="gramStart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ed</w:t>
      </w:r>
      <w:proofErr w:type="gramEnd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.). New York, NY: Routledge.</w:t>
      </w:r>
    </w:p>
    <w:p w:rsidR="00FD232F" w:rsidRPr="00FD232F" w:rsidRDefault="00FD232F" w:rsidP="00FD2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Chapter 1: Multiple ethical paradigms and the preparation of educational leaders in a diverse and complex era.</w:t>
      </w:r>
    </w:p>
    <w:p w:rsidR="00FD232F" w:rsidRPr="00FD232F" w:rsidRDefault="00FD232F" w:rsidP="00FD23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Chapter 2: Viewing ethical dilemmas through multiple paradigms.</w:t>
      </w:r>
    </w:p>
    <w:p w:rsidR="00FD232F" w:rsidRPr="00FD232F" w:rsidRDefault="00FD232F" w:rsidP="00FD232F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FD232F">
        <w:rPr>
          <w:rFonts w:ascii="Century" w:eastAsia="Times New Roman" w:hAnsi="Century" w:cs="Helvetica"/>
          <w:color w:val="621B4B"/>
          <w:sz w:val="24"/>
          <w:szCs w:val="24"/>
        </w:rPr>
        <w:t>Multimedia</w:t>
      </w:r>
    </w:p>
    <w:p w:rsidR="00FD232F" w:rsidRPr="00FD232F" w:rsidRDefault="00FD232F" w:rsidP="00FD232F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1. </w:t>
      </w:r>
      <w:proofErr w:type="spellStart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Koschmann</w:t>
      </w:r>
      <w:proofErr w:type="spellEnd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, M. (2012, December 13). </w:t>
      </w:r>
      <w:hyperlink r:id="rId5" w:tgtFrame="_blank" w:history="1">
        <w:r w:rsidRPr="00FD232F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</w:rPr>
          <w:t>The collaborative challenge: Making quality decisions together in the age of complexity</w:t>
        </w:r>
        <w:r w:rsidRPr="00FD232F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 [Video File]. Retrieved from https://www.youtube.com/watch?v=iN_A7keXtVg</w:t>
      </w:r>
    </w:p>
    <w:p w:rsidR="00FD232F" w:rsidRPr="00FD232F" w:rsidRDefault="00FD232F" w:rsidP="00FD2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This 17 minute video is used to support your completion of the Discussion for Week Five. In the video, </w:t>
      </w:r>
      <w:proofErr w:type="spellStart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Koschmann</w:t>
      </w:r>
      <w:proofErr w:type="spellEnd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 explores the ability leaders have in making ethical and sustainable decisions involving relevant stakeholders in meaningful ways. Additionally, </w:t>
      </w:r>
      <w:proofErr w:type="spellStart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>Koschmann</w:t>
      </w:r>
      <w:proofErr w:type="spellEnd"/>
      <w:r w:rsidRPr="00FD232F">
        <w:rPr>
          <w:rFonts w:ascii="Century" w:eastAsia="Times New Roman" w:hAnsi="Century" w:cs="Helvetica"/>
          <w:color w:val="2D3B45"/>
          <w:sz w:val="24"/>
          <w:szCs w:val="24"/>
        </w:rPr>
        <w:t xml:space="preserve"> defines the competing forces within any collaborative effort as collaborative advantage and collaborative inertia.</w:t>
      </w:r>
    </w:p>
    <w:p w:rsidR="008F156A" w:rsidRDefault="008F156A"/>
    <w:sectPr w:rsidR="008F1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ABC"/>
    <w:multiLevelType w:val="multilevel"/>
    <w:tmpl w:val="5AA61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72EF1"/>
    <w:multiLevelType w:val="multilevel"/>
    <w:tmpl w:val="FCB6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2F"/>
    <w:rsid w:val="008F156A"/>
    <w:rsid w:val="00AF5597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027E-AAA2-4650-9B39-B7F3C597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2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3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23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32F"/>
    <w:rPr>
      <w:i/>
      <w:iCs/>
    </w:rPr>
  </w:style>
  <w:style w:type="character" w:customStyle="1" w:styleId="screenreader-only">
    <w:name w:val="screenreader-only"/>
    <w:basedOn w:val="DefaultParagraphFont"/>
    <w:rsid w:val="00FD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youtube.com/watch?v=iN_A7keXtV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952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