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506" w:rsidRDefault="00A82506" w:rsidP="00A82506">
      <w:pPr>
        <w:pStyle w:val="que-list"/>
        <w:rPr>
          <w:b/>
          <w:bCs/>
          <w:lang w:val="en"/>
        </w:rPr>
      </w:pPr>
      <w:r>
        <w:rPr>
          <w:noProof/>
          <w:lang w:val="en"/>
        </w:rPr>
        <mc:AlternateContent>
          <mc:Choice Requires="wps">
            <w:drawing>
              <wp:inline distT="0" distB="0" distL="0" distR="0" wp14:anchorId="7D9513D2" wp14:editId="20B40131">
                <wp:extent cx="304800" cy="304800"/>
                <wp:effectExtent l="0" t="0" r="0" b="0"/>
                <wp:docPr id="8" name="AutoShape 17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D366BE" id="AutoShape 17" o:spid="_x0000_s1026" alt="imag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+UmrGuwIAAMcF&#10;AAAOAAAAAAAAAAAAAAAAAC4CAABkcnMvZTJvRG9jLnhtbFBLAQItABQABgAIAAAAIQBMoOks2AAA&#10;AAMBAAAPAAAAAAAAAAAAAAAAABU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  <w:r w:rsidRPr="00A82506">
        <w:rPr>
          <w:b/>
          <w:bCs/>
          <w:lang w:val="en"/>
        </w:rPr>
        <w:t>Ch. 9</w:t>
      </w:r>
    </w:p>
    <w:p w:rsidR="00A82506" w:rsidRDefault="00A82506" w:rsidP="00A82506">
      <w:pPr>
        <w:pStyle w:val="que-list"/>
        <w:rPr>
          <w:b/>
          <w:bCs/>
          <w:lang w:val="en"/>
        </w:rPr>
      </w:pPr>
    </w:p>
    <w:p w:rsidR="00A82506" w:rsidRDefault="00A82506" w:rsidP="00A82506">
      <w:pPr>
        <w:pStyle w:val="que-list"/>
        <w:rPr>
          <w:lang w:val="en"/>
        </w:rPr>
      </w:pPr>
      <w:r>
        <w:rPr>
          <w:b/>
          <w:bCs/>
          <w:lang w:val="en"/>
        </w:rPr>
        <w:t xml:space="preserve">7.   Calculating IRR </w:t>
      </w:r>
      <w:r>
        <w:rPr>
          <w:rStyle w:val="lo"/>
          <w:b/>
          <w:bCs/>
          <w:lang w:val="en"/>
        </w:rPr>
        <w:t>[LO5]</w:t>
      </w:r>
      <w:r>
        <w:rPr>
          <w:lang w:val="en"/>
        </w:rPr>
        <w:t xml:space="preserve"> A firm evaluates </w:t>
      </w:r>
      <w:proofErr w:type="gramStart"/>
      <w:r>
        <w:rPr>
          <w:lang w:val="en"/>
        </w:rPr>
        <w:t>all of</w:t>
      </w:r>
      <w:proofErr w:type="gramEnd"/>
      <w:r>
        <w:rPr>
          <w:lang w:val="en"/>
        </w:rPr>
        <w:t xml:space="preserve"> its projects by applying the IRR rule. If the required return is 14 percent, should the firm accept the following project?</w:t>
      </w:r>
    </w:p>
    <w:p w:rsidR="00A82506" w:rsidRDefault="00A82506" w:rsidP="00A82506">
      <w:pPr>
        <w:pStyle w:val="image"/>
        <w:rPr>
          <w:lang w:val="en"/>
        </w:rPr>
      </w:pPr>
      <w:r>
        <w:rPr>
          <w:noProof/>
          <w:lang w:val="en"/>
        </w:rPr>
        <mc:AlternateContent>
          <mc:Choice Requires="wps">
            <w:drawing>
              <wp:inline distT="0" distB="0" distL="0" distR="0" wp14:anchorId="5B2651B4" wp14:editId="161AE20A">
                <wp:extent cx="304800" cy="304800"/>
                <wp:effectExtent l="0" t="0" r="0" b="0"/>
                <wp:docPr id="7" name="AutoShape 18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6CD40D" id="AutoShape 18" o:spid="_x0000_s1026" alt="imag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ewuLfrwCAADH&#10;BQAADgAAAAAAAAAAAAAAAAAuAgAAZHJzL2Uyb0RvYy54bWxQSwECLQAUAAYACAAAACEATKDpLNgA&#10;AAADAQAADwAAAAAAAAAAAAAAAAAW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A82506">
        <w:drawing>
          <wp:inline distT="0" distB="0" distL="0" distR="0" wp14:anchorId="2500C5AB" wp14:editId="42D6A575">
            <wp:extent cx="1838325" cy="904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2506" w:rsidRDefault="00A82506" w:rsidP="00A82506">
      <w:pPr>
        <w:pStyle w:val="image"/>
        <w:rPr>
          <w:lang w:val="en"/>
        </w:rPr>
      </w:pPr>
      <w:r w:rsidRPr="00A82506">
        <w:rPr>
          <w:lang w:val="en"/>
        </w:rPr>
        <w:t>8.   Calculating NPV [LO1] For the cash flows in the previous problem, suppose the firm uses the NPV decision rule. At a required return of 11 percent, should the firm accept this project? What if the required return is 24 percent?</w:t>
      </w:r>
    </w:p>
    <w:p w:rsidR="00A82506" w:rsidRDefault="00A82506">
      <w:r>
        <w:t>Ch. 10</w:t>
      </w:r>
    </w:p>
    <w:p w:rsidR="008735B6" w:rsidRDefault="00A82506">
      <w:r w:rsidRPr="00A82506">
        <w:t>3.   Calculating Projected Net Income [LO1] A proposed new investment has projected sales of $635,000. Variable costs are 44 percent of sales, and fixed costs are $193,000; depreciation is $54,000. Prepare a pro forma income statement assuming a tax rate of 35 percent. What is the projected net income?</w:t>
      </w:r>
    </w:p>
    <w:p w:rsidR="00A82506" w:rsidRDefault="00A82506">
      <w:r w:rsidRPr="00A82506">
        <w:t>13.   Project Evaluation [LO1] Dog Up! Franks is looking at a new sausage system with an installed cost of $540,000. This cost will be depreciated straight-line to zero over the project’s five-year life, at the end of which the sausage system can be scrapped for $80,000. The sausage system will save the firm $170,000 per year in pretax operating costs, and the system requires an initial investment in net working capital of $29,000. If the tax rate is 34 percent and the discount rate is 10 percent, what is the NPV of this project?</w:t>
      </w:r>
    </w:p>
    <w:p w:rsidR="00A82506" w:rsidRDefault="00A82506">
      <w:r>
        <w:t>Ch. 11</w:t>
      </w:r>
    </w:p>
    <w:p w:rsidR="00A82506" w:rsidRDefault="00A82506" w:rsidP="00A82506">
      <w:r>
        <w:t>1.  Calculating Costs and Break-Even [LO3] Night Shades, Inc. (NSI), manufactures biotech sunglasses. The variable materials cost is $9.64 per unit, and the variable labor cost is $8.63 per unit.</w:t>
      </w:r>
    </w:p>
    <w:p w:rsidR="00A82506" w:rsidRDefault="00A82506" w:rsidP="00A82506">
      <w:r>
        <w:t>a. What is the variable cost per unit?</w:t>
      </w:r>
    </w:p>
    <w:p w:rsidR="00A82506" w:rsidRDefault="00A82506" w:rsidP="00A82506">
      <w:r>
        <w:t>b. Suppose NSI incurs fixed costs of $915,000 during a year in which total production is 215,000 units. What are the total costs for the year?</w:t>
      </w:r>
    </w:p>
    <w:p w:rsidR="00A82506" w:rsidRDefault="00A82506" w:rsidP="00A82506">
      <w:r>
        <w:t>c. If the selling price is $39.99 per unit, does NSI break even on a cash basis? If depreciation is $465,000 per year, what is the accounting break-even point?</w:t>
      </w:r>
    </w:p>
    <w:p w:rsidR="00A82506" w:rsidRDefault="00A82506" w:rsidP="00A82506">
      <w:pPr>
        <w:rPr>
          <w:b/>
          <w:bCs/>
          <w:lang w:val="en"/>
        </w:rPr>
      </w:pPr>
    </w:p>
    <w:p w:rsidR="00A82506" w:rsidRPr="00A82506" w:rsidRDefault="00A82506" w:rsidP="00A82506">
      <w:pPr>
        <w:rPr>
          <w:lang w:val="en"/>
        </w:rPr>
      </w:pPr>
      <w:r w:rsidRPr="00A82506">
        <w:rPr>
          <w:b/>
          <w:bCs/>
          <w:lang w:val="en"/>
        </w:rPr>
        <w:lastRenderedPageBreak/>
        <w:t>7.  Calculating Break-Even [LO3]</w:t>
      </w:r>
      <w:r w:rsidRPr="00A82506">
        <w:rPr>
          <w:lang w:val="en"/>
        </w:rPr>
        <w:t xml:space="preserve"> In each of the following cases, calculate the accounting break-even and the cash break-even points. Ignore any tax effects in calculating the cash break-even.</w:t>
      </w:r>
    </w:p>
    <w:p w:rsidR="00A82506" w:rsidRPr="00A82506" w:rsidRDefault="00A82506" w:rsidP="00A82506">
      <w:pPr>
        <w:rPr>
          <w:lang w:val="en"/>
        </w:rPr>
      </w:pPr>
      <w:r w:rsidRPr="00A82506">
        <w:rPr>
          <w:lang w:val="en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Rectangle 9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C049BC" id="Rectangle 9" o:spid="_x0000_s1026" alt="imag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cuZ6WrwCAADG&#10;BQAADgAAAAAAAAAAAAAAAAAuAgAAZHJzL2Uyb0RvYy54bWxQSwECLQAUAAYACAAAACEATKDpLNgA&#10;AAADAQAADwAAAAAAAAAAAAAAAAAW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A82506">
        <w:rPr>
          <w:noProof/>
        </w:rPr>
        <w:t xml:space="preserve"> </w:t>
      </w:r>
      <w:r w:rsidRPr="00A82506">
        <w:drawing>
          <wp:inline distT="0" distB="0" distL="0" distR="0" wp14:anchorId="7CF5C0B8" wp14:editId="0934123D">
            <wp:extent cx="4019550" cy="7334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2506" w:rsidRDefault="00A82506" w:rsidP="00A82506"/>
    <w:p w:rsidR="00A82506" w:rsidRDefault="00A82506" w:rsidP="00A82506"/>
    <w:sectPr w:rsidR="00A825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DA9" w:rsidRDefault="00B90DA9" w:rsidP="00AC4891">
      <w:pPr>
        <w:spacing w:after="0" w:line="240" w:lineRule="auto"/>
      </w:pPr>
      <w:r>
        <w:separator/>
      </w:r>
    </w:p>
  </w:endnote>
  <w:endnote w:type="continuationSeparator" w:id="0">
    <w:p w:rsidR="00B90DA9" w:rsidRDefault="00B90DA9" w:rsidP="00AC4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91" w:rsidRDefault="00AC48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91" w:rsidRDefault="00AC48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91" w:rsidRDefault="00AC48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DA9" w:rsidRDefault="00B90DA9" w:rsidP="00AC4891">
      <w:pPr>
        <w:spacing w:after="0" w:line="240" w:lineRule="auto"/>
      </w:pPr>
      <w:r>
        <w:separator/>
      </w:r>
    </w:p>
  </w:footnote>
  <w:footnote w:type="continuationSeparator" w:id="0">
    <w:p w:rsidR="00B90DA9" w:rsidRDefault="00B90DA9" w:rsidP="00AC4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91" w:rsidRDefault="00AC48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91" w:rsidRDefault="00AC4891">
    <w:pPr>
      <w:pStyle w:val="Header"/>
    </w:pPr>
    <w:r w:rsidRPr="00AC4891">
      <w:t>Question and Problem Sets</w:t>
    </w:r>
    <w:r>
      <w:t xml:space="preserve"> </w:t>
    </w:r>
    <w:r>
      <w:t>III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91" w:rsidRDefault="00AC48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506"/>
    <w:rsid w:val="000378B5"/>
    <w:rsid w:val="000E398F"/>
    <w:rsid w:val="006860C6"/>
    <w:rsid w:val="00A82506"/>
    <w:rsid w:val="00AC4891"/>
    <w:rsid w:val="00B90DA9"/>
    <w:rsid w:val="00E1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709A6"/>
  <w15:chartTrackingRefBased/>
  <w15:docId w15:val="{BB7EE6FD-4A37-4539-AD9E-88B94C28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-list">
    <w:name w:val="que-list"/>
    <w:basedOn w:val="Normal"/>
    <w:rsid w:val="00A82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">
    <w:name w:val="lo"/>
    <w:basedOn w:val="DefaultParagraphFont"/>
    <w:rsid w:val="00A82506"/>
  </w:style>
  <w:style w:type="paragraph" w:customStyle="1" w:styleId="image">
    <w:name w:val="image"/>
    <w:basedOn w:val="Normal"/>
    <w:rsid w:val="00A82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4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891"/>
  </w:style>
  <w:style w:type="paragraph" w:styleId="Footer">
    <w:name w:val="footer"/>
    <w:basedOn w:val="Normal"/>
    <w:link w:val="FooterChar"/>
    <w:uiPriority w:val="99"/>
    <w:unhideWhenUsed/>
    <w:rsid w:val="00AC4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0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0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4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3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1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oter" Target="footer1.xml"/>
  <Relationship Id="rId11" Type="http://schemas.openxmlformats.org/officeDocument/2006/relationships/footer" Target="footer2.xml"/>
  <Relationship Id="rId12" Type="http://schemas.openxmlformats.org/officeDocument/2006/relationships/header" Target="header3.xml"/>
  <Relationship Id="rId13" Type="http://schemas.openxmlformats.org/officeDocument/2006/relationships/footer" Target="footer3.xml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image" Target="media/image1.png"/>
  <Relationship Id="rId7" Type="http://schemas.openxmlformats.org/officeDocument/2006/relationships/image" Target="media/image2.png"/>
  <Relationship Id="rId8" Type="http://schemas.openxmlformats.org/officeDocument/2006/relationships/header" Target="header1.xml"/>
  <Relationship Id="rId9" Type="http://schemas.openxmlformats.org/officeDocument/2006/relationships/header" Target="head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299</Words>
  <Characters>1709</Characters>
  <Application/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