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EC149" w14:textId="77777777" w:rsidR="004058EB" w:rsidRPr="004058EB" w:rsidRDefault="004058EB" w:rsidP="004058EB">
      <w:pPr>
        <w:widowControl w:val="0"/>
        <w:autoSpaceDE w:val="0"/>
        <w:autoSpaceDN w:val="0"/>
        <w:adjustRightInd w:val="0"/>
        <w:spacing w:after="260"/>
        <w:jc w:val="center"/>
        <w:rPr>
          <w:rFonts w:ascii="Arial" w:hAnsi="Arial" w:cs="Arial"/>
          <w:b/>
          <w:sz w:val="26"/>
          <w:szCs w:val="26"/>
        </w:rPr>
      </w:pPr>
      <w:bookmarkStart w:id="0" w:name="_GoBack"/>
      <w:bookmarkEnd w:id="0"/>
      <w:r w:rsidRPr="004058EB">
        <w:rPr>
          <w:rFonts w:ascii="Arial" w:hAnsi="Arial" w:cs="Arial"/>
          <w:b/>
          <w:sz w:val="26"/>
          <w:szCs w:val="26"/>
        </w:rPr>
        <w:t>Andragogy in Practice Inventory</w:t>
      </w:r>
    </w:p>
    <w:p w14:paraId="5A59D85F" w14:textId="77777777" w:rsidR="004058EB" w:rsidRDefault="004058EB" w:rsidP="004058EB">
      <w:pPr>
        <w:widowControl w:val="0"/>
        <w:autoSpaceDE w:val="0"/>
        <w:autoSpaceDN w:val="0"/>
        <w:adjustRightInd w:val="0"/>
        <w:spacing w:after="260"/>
        <w:rPr>
          <w:rFonts w:ascii="Arial" w:hAnsi="Arial" w:cs="Arial"/>
          <w:sz w:val="26"/>
          <w:szCs w:val="26"/>
        </w:rPr>
      </w:pPr>
      <w:r>
        <w:rPr>
          <w:rFonts w:ascii="Arial" w:hAnsi="Arial" w:cs="Arial"/>
          <w:sz w:val="26"/>
          <w:szCs w:val="26"/>
        </w:rPr>
        <w:t>The API in very simple terms is used to assess how closely a learning activity is perceived to adhere with the principles and design elements of andragogy (see tables below).</w:t>
      </w:r>
    </w:p>
    <w:p w14:paraId="43CE9FF5" w14:textId="77777777" w:rsidR="004058EB" w:rsidRDefault="004058EB" w:rsidP="004058EB">
      <w:pPr>
        <w:widowControl w:val="0"/>
        <w:autoSpaceDE w:val="0"/>
        <w:autoSpaceDN w:val="0"/>
        <w:adjustRightInd w:val="0"/>
        <w:spacing w:after="260"/>
        <w:rPr>
          <w:rFonts w:ascii="Arial" w:hAnsi="Arial" w:cs="Arial"/>
          <w:sz w:val="26"/>
          <w:szCs w:val="26"/>
        </w:rPr>
      </w:pPr>
      <w:r>
        <w:rPr>
          <w:rFonts w:ascii="Arial" w:hAnsi="Arial" w:cs="Arial"/>
          <w:sz w:val="26"/>
          <w:szCs w:val="26"/>
        </w:rPr>
        <w:t>Table 1: Principles of Andragogy</w:t>
      </w:r>
    </w:p>
    <w:tbl>
      <w:tblPr>
        <w:tblW w:w="13050" w:type="dxa"/>
        <w:tblInd w:w="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040"/>
        <w:gridCol w:w="8010"/>
      </w:tblGrid>
      <w:tr w:rsidR="004058EB" w14:paraId="43E3F7D8" w14:textId="77777777" w:rsidTr="004058EB">
        <w:tc>
          <w:tcPr>
            <w:tcW w:w="13050" w:type="dxa"/>
            <w:gridSpan w:val="2"/>
            <w:tcMar>
              <w:top w:w="120" w:type="nil"/>
              <w:left w:w="120" w:type="nil"/>
              <w:bottom w:w="120" w:type="nil"/>
              <w:right w:w="120" w:type="nil"/>
            </w:tcMar>
          </w:tcPr>
          <w:p w14:paraId="68DB65F9" w14:textId="77777777" w:rsidR="004058EB" w:rsidRDefault="004058EB">
            <w:pPr>
              <w:widowControl w:val="0"/>
              <w:autoSpaceDE w:val="0"/>
              <w:autoSpaceDN w:val="0"/>
              <w:adjustRightInd w:val="0"/>
              <w:spacing w:after="260"/>
              <w:jc w:val="center"/>
              <w:rPr>
                <w:rFonts w:ascii="Arial" w:hAnsi="Arial" w:cs="Arial"/>
                <w:sz w:val="26"/>
                <w:szCs w:val="26"/>
              </w:rPr>
            </w:pPr>
            <w:r>
              <w:rPr>
                <w:rFonts w:ascii="Arial" w:hAnsi="Arial" w:cs="Arial"/>
                <w:sz w:val="26"/>
                <w:szCs w:val="26"/>
              </w:rPr>
              <w:t>Six Principles of Andragogy</w:t>
            </w:r>
          </w:p>
        </w:tc>
      </w:tr>
      <w:tr w:rsidR="004058EB" w14:paraId="652B4156" w14:textId="77777777" w:rsidTr="004058EB">
        <w:tblPrEx>
          <w:tblBorders>
            <w:top w:val="none" w:sz="0" w:space="0" w:color="auto"/>
          </w:tblBorders>
        </w:tblPrEx>
        <w:tc>
          <w:tcPr>
            <w:tcW w:w="5040" w:type="dxa"/>
            <w:tcMar>
              <w:top w:w="120" w:type="nil"/>
              <w:left w:w="120" w:type="nil"/>
              <w:bottom w:w="120" w:type="nil"/>
              <w:right w:w="120" w:type="nil"/>
            </w:tcMar>
          </w:tcPr>
          <w:p w14:paraId="1BA7F303"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Intrinsic motivation to learn</w:t>
            </w:r>
          </w:p>
        </w:tc>
        <w:tc>
          <w:tcPr>
            <w:tcW w:w="8010" w:type="dxa"/>
            <w:tcMar>
              <w:top w:w="120" w:type="nil"/>
              <w:left w:w="120" w:type="nil"/>
              <w:bottom w:w="120" w:type="nil"/>
              <w:right w:w="120" w:type="nil"/>
            </w:tcMar>
          </w:tcPr>
          <w:p w14:paraId="15226FE4"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The learning that has the most meaning for adults is that which has personal value.</w:t>
            </w:r>
          </w:p>
        </w:tc>
      </w:tr>
      <w:tr w:rsidR="004058EB" w14:paraId="1B9F2D85" w14:textId="77777777" w:rsidTr="004058EB">
        <w:tblPrEx>
          <w:tblBorders>
            <w:top w:val="none" w:sz="0" w:space="0" w:color="auto"/>
          </w:tblBorders>
        </w:tblPrEx>
        <w:tc>
          <w:tcPr>
            <w:tcW w:w="5040" w:type="dxa"/>
            <w:tcMar>
              <w:top w:w="120" w:type="nil"/>
              <w:left w:w="120" w:type="nil"/>
              <w:bottom w:w="120" w:type="nil"/>
              <w:right w:w="120" w:type="nil"/>
            </w:tcMar>
          </w:tcPr>
          <w:p w14:paraId="47767355"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Readiness to learn</w:t>
            </w:r>
          </w:p>
        </w:tc>
        <w:tc>
          <w:tcPr>
            <w:tcW w:w="8010" w:type="dxa"/>
            <w:tcMar>
              <w:top w:w="120" w:type="nil"/>
              <w:left w:w="120" w:type="nil"/>
              <w:bottom w:w="120" w:type="nil"/>
              <w:right w:w="120" w:type="nil"/>
            </w:tcMar>
          </w:tcPr>
          <w:p w14:paraId="26335DB8"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Teaching and learning efforts are most effective with adults who are prepared by life or work challenges to engage in new learning (i.e., learning that helps them solve problems or issues they recognize in their lives/work).</w:t>
            </w:r>
          </w:p>
        </w:tc>
      </w:tr>
      <w:tr w:rsidR="004058EB" w14:paraId="4DF8D9EB" w14:textId="77777777" w:rsidTr="004058EB">
        <w:tblPrEx>
          <w:tblBorders>
            <w:top w:val="none" w:sz="0" w:space="0" w:color="auto"/>
          </w:tblBorders>
        </w:tblPrEx>
        <w:tc>
          <w:tcPr>
            <w:tcW w:w="5040" w:type="dxa"/>
            <w:tcMar>
              <w:top w:w="120" w:type="nil"/>
              <w:left w:w="120" w:type="nil"/>
              <w:bottom w:w="120" w:type="nil"/>
              <w:right w:w="120" w:type="nil"/>
            </w:tcMar>
          </w:tcPr>
          <w:p w14:paraId="44A1FA58"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Prior experience</w:t>
            </w:r>
          </w:p>
        </w:tc>
        <w:tc>
          <w:tcPr>
            <w:tcW w:w="8010" w:type="dxa"/>
            <w:tcMar>
              <w:top w:w="120" w:type="nil"/>
              <w:left w:w="120" w:type="nil"/>
              <w:bottom w:w="120" w:type="nil"/>
              <w:right w:w="120" w:type="nil"/>
            </w:tcMar>
          </w:tcPr>
          <w:p w14:paraId="150DD032"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Current and past experience is seen as a rich resource for learning by self and others</w:t>
            </w:r>
          </w:p>
        </w:tc>
      </w:tr>
      <w:tr w:rsidR="004058EB" w14:paraId="2A12A580" w14:textId="77777777" w:rsidTr="004058EB">
        <w:tblPrEx>
          <w:tblBorders>
            <w:top w:val="none" w:sz="0" w:space="0" w:color="auto"/>
          </w:tblBorders>
        </w:tblPrEx>
        <w:tc>
          <w:tcPr>
            <w:tcW w:w="5040" w:type="dxa"/>
            <w:tcMar>
              <w:top w:w="120" w:type="nil"/>
              <w:left w:w="120" w:type="nil"/>
              <w:bottom w:w="120" w:type="nil"/>
              <w:right w:w="120" w:type="nil"/>
            </w:tcMar>
          </w:tcPr>
          <w:p w14:paraId="5ECCD859"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Orientation to learning</w:t>
            </w:r>
          </w:p>
        </w:tc>
        <w:tc>
          <w:tcPr>
            <w:tcW w:w="8010" w:type="dxa"/>
            <w:tcMar>
              <w:top w:w="120" w:type="nil"/>
              <w:left w:w="120" w:type="nil"/>
              <w:bottom w:w="120" w:type="nil"/>
              <w:right w:w="120" w:type="nil"/>
            </w:tcMar>
          </w:tcPr>
          <w:p w14:paraId="7394AF36"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Adults prefer problem-solving approach, not a subject-centered approach to learning and learn best when new learning is couched in real-life context.</w:t>
            </w:r>
          </w:p>
        </w:tc>
      </w:tr>
      <w:tr w:rsidR="004058EB" w14:paraId="76EA634D" w14:textId="77777777" w:rsidTr="004058EB">
        <w:tblPrEx>
          <w:tblBorders>
            <w:top w:val="none" w:sz="0" w:space="0" w:color="auto"/>
          </w:tblBorders>
        </w:tblPrEx>
        <w:tc>
          <w:tcPr>
            <w:tcW w:w="5040" w:type="dxa"/>
            <w:tcMar>
              <w:top w:w="120" w:type="nil"/>
              <w:left w:w="120" w:type="nil"/>
              <w:bottom w:w="120" w:type="nil"/>
              <w:right w:w="120" w:type="nil"/>
            </w:tcMar>
          </w:tcPr>
          <w:p w14:paraId="2863F525"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Self-directed learning</w:t>
            </w:r>
          </w:p>
        </w:tc>
        <w:tc>
          <w:tcPr>
            <w:tcW w:w="8010" w:type="dxa"/>
            <w:tcMar>
              <w:top w:w="120" w:type="nil"/>
              <w:left w:w="120" w:type="nil"/>
              <w:bottom w:w="120" w:type="nil"/>
              <w:right w:w="120" w:type="nil"/>
            </w:tcMar>
          </w:tcPr>
          <w:p w14:paraId="1DC05786"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Adults learn best when they have the opportunity to control or have input into the goals and purposes of a learning experience and have some personal autonomy in making decisions in how teaching and learning occurs. </w:t>
            </w:r>
          </w:p>
        </w:tc>
      </w:tr>
      <w:tr w:rsidR="004058EB" w14:paraId="66C90BC9" w14:textId="77777777" w:rsidTr="004058EB">
        <w:tblPrEx>
          <w:tblBorders>
            <w:top w:val="none" w:sz="0" w:space="0" w:color="auto"/>
            <w:bottom w:val="single" w:sz="8" w:space="0" w:color="6D6D6D"/>
          </w:tblBorders>
        </w:tblPrEx>
        <w:tc>
          <w:tcPr>
            <w:tcW w:w="5040" w:type="dxa"/>
            <w:tcMar>
              <w:top w:w="120" w:type="nil"/>
              <w:left w:w="120" w:type="nil"/>
              <w:bottom w:w="120" w:type="nil"/>
              <w:right w:w="120" w:type="nil"/>
            </w:tcMar>
          </w:tcPr>
          <w:p w14:paraId="18F086F2"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lastRenderedPageBreak/>
              <w:t>Need to know</w:t>
            </w:r>
          </w:p>
        </w:tc>
        <w:tc>
          <w:tcPr>
            <w:tcW w:w="8010" w:type="dxa"/>
            <w:tcMar>
              <w:top w:w="120" w:type="nil"/>
              <w:left w:w="120" w:type="nil"/>
              <w:bottom w:w="120" w:type="nil"/>
              <w:right w:w="120" w:type="nil"/>
            </w:tcMar>
          </w:tcPr>
          <w:p w14:paraId="5E75C30F"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Adults need advance information about training or learning experiences in order to evaluate its relevance.  This could also include some advance involvement in designing and planning training.</w:t>
            </w:r>
          </w:p>
        </w:tc>
      </w:tr>
    </w:tbl>
    <w:p w14:paraId="49D60917" w14:textId="77777777" w:rsidR="004058EB" w:rsidRDefault="004058EB" w:rsidP="004058EB">
      <w:pPr>
        <w:widowControl w:val="0"/>
        <w:autoSpaceDE w:val="0"/>
        <w:autoSpaceDN w:val="0"/>
        <w:adjustRightInd w:val="0"/>
        <w:spacing w:after="260"/>
        <w:rPr>
          <w:rFonts w:ascii="Arial" w:hAnsi="Arial" w:cs="Arial"/>
          <w:sz w:val="26"/>
          <w:szCs w:val="26"/>
        </w:rPr>
      </w:pPr>
      <w:r>
        <w:rPr>
          <w:rFonts w:ascii="Arial" w:hAnsi="Arial" w:cs="Arial"/>
          <w:sz w:val="26"/>
          <w:szCs w:val="26"/>
        </w:rPr>
        <w:t> </w:t>
      </w:r>
    </w:p>
    <w:p w14:paraId="3327A6DA" w14:textId="77777777" w:rsidR="004058EB" w:rsidRDefault="004058EB" w:rsidP="004058EB">
      <w:pPr>
        <w:widowControl w:val="0"/>
        <w:autoSpaceDE w:val="0"/>
        <w:autoSpaceDN w:val="0"/>
        <w:adjustRightInd w:val="0"/>
        <w:spacing w:after="260"/>
        <w:rPr>
          <w:rFonts w:ascii="Arial" w:hAnsi="Arial" w:cs="Arial"/>
          <w:sz w:val="26"/>
          <w:szCs w:val="26"/>
        </w:rPr>
      </w:pPr>
      <w:r>
        <w:rPr>
          <w:rFonts w:ascii="Arial" w:hAnsi="Arial" w:cs="Arial"/>
          <w:sz w:val="26"/>
          <w:szCs w:val="26"/>
        </w:rPr>
        <w:t>Table 2: Learning Process Design Elements for Adult Learners</w:t>
      </w:r>
    </w:p>
    <w:tbl>
      <w:tblPr>
        <w:tblW w:w="1306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020"/>
        <w:gridCol w:w="8048"/>
      </w:tblGrid>
      <w:tr w:rsidR="004058EB" w14:paraId="01E3018A" w14:textId="77777777" w:rsidTr="004058EB">
        <w:tc>
          <w:tcPr>
            <w:tcW w:w="13068" w:type="dxa"/>
            <w:gridSpan w:val="2"/>
            <w:tcMar>
              <w:top w:w="120" w:type="nil"/>
              <w:left w:w="120" w:type="nil"/>
              <w:bottom w:w="120" w:type="nil"/>
              <w:right w:w="120" w:type="nil"/>
            </w:tcMar>
          </w:tcPr>
          <w:p w14:paraId="1338B777" w14:textId="77777777" w:rsidR="004058EB" w:rsidRDefault="004058EB" w:rsidP="004058EB">
            <w:pPr>
              <w:widowControl w:val="0"/>
              <w:autoSpaceDE w:val="0"/>
              <w:autoSpaceDN w:val="0"/>
              <w:adjustRightInd w:val="0"/>
              <w:spacing w:after="260"/>
              <w:ind w:right="2644"/>
              <w:jc w:val="center"/>
              <w:rPr>
                <w:rFonts w:ascii="Arial" w:hAnsi="Arial" w:cs="Arial"/>
                <w:sz w:val="26"/>
                <w:szCs w:val="26"/>
              </w:rPr>
            </w:pPr>
            <w:r>
              <w:rPr>
                <w:rFonts w:ascii="Arial" w:hAnsi="Arial" w:cs="Arial"/>
                <w:sz w:val="26"/>
                <w:szCs w:val="26"/>
              </w:rPr>
              <w:t>Learning Process Design Elements</w:t>
            </w:r>
          </w:p>
        </w:tc>
      </w:tr>
      <w:tr w:rsidR="004058EB" w14:paraId="650BB755" w14:textId="77777777" w:rsidTr="004058EB">
        <w:tblPrEx>
          <w:tblBorders>
            <w:top w:val="none" w:sz="0" w:space="0" w:color="auto"/>
          </w:tblBorders>
        </w:tblPrEx>
        <w:tc>
          <w:tcPr>
            <w:tcW w:w="5020" w:type="dxa"/>
            <w:tcMar>
              <w:top w:w="120" w:type="nil"/>
              <w:left w:w="120" w:type="nil"/>
              <w:bottom w:w="120" w:type="nil"/>
              <w:right w:w="120" w:type="nil"/>
            </w:tcMar>
          </w:tcPr>
          <w:p w14:paraId="7CBEAC2C"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Preparing the learner</w:t>
            </w:r>
          </w:p>
        </w:tc>
        <w:tc>
          <w:tcPr>
            <w:tcW w:w="8048" w:type="dxa"/>
            <w:tcMar>
              <w:top w:w="120" w:type="nil"/>
              <w:left w:w="120" w:type="nil"/>
              <w:bottom w:w="120" w:type="nil"/>
              <w:right w:w="120" w:type="nil"/>
            </w:tcMar>
          </w:tcPr>
          <w:p w14:paraId="39E01829"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Before the learning experience supply learners with advance information about the content and style of the learning experience, prepare them for participation, and assist in the development develop realistic expectations.</w:t>
            </w:r>
          </w:p>
        </w:tc>
      </w:tr>
      <w:tr w:rsidR="004058EB" w14:paraId="7D812EE4" w14:textId="77777777" w:rsidTr="004058EB">
        <w:tblPrEx>
          <w:tblBorders>
            <w:top w:val="none" w:sz="0" w:space="0" w:color="auto"/>
          </w:tblBorders>
        </w:tblPrEx>
        <w:tc>
          <w:tcPr>
            <w:tcW w:w="5020" w:type="dxa"/>
            <w:tcMar>
              <w:top w:w="120" w:type="nil"/>
              <w:left w:w="120" w:type="nil"/>
              <w:bottom w:w="120" w:type="nil"/>
              <w:right w:w="120" w:type="nil"/>
            </w:tcMar>
          </w:tcPr>
          <w:p w14:paraId="0D851AF0"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Climate setting</w:t>
            </w:r>
          </w:p>
        </w:tc>
        <w:tc>
          <w:tcPr>
            <w:tcW w:w="8048" w:type="dxa"/>
            <w:tcMar>
              <w:top w:w="120" w:type="nil"/>
              <w:left w:w="120" w:type="nil"/>
              <w:bottom w:w="120" w:type="nil"/>
              <w:right w:w="120" w:type="nil"/>
            </w:tcMar>
          </w:tcPr>
          <w:p w14:paraId="4667219C"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Establish a trusting, mutually respectful, informal, collaborative, and supportive learning climate.</w:t>
            </w:r>
          </w:p>
        </w:tc>
      </w:tr>
      <w:tr w:rsidR="004058EB" w14:paraId="26C581B7" w14:textId="77777777" w:rsidTr="004058EB">
        <w:tblPrEx>
          <w:tblBorders>
            <w:top w:val="none" w:sz="0" w:space="0" w:color="auto"/>
          </w:tblBorders>
        </w:tblPrEx>
        <w:tc>
          <w:tcPr>
            <w:tcW w:w="5020" w:type="dxa"/>
            <w:tcMar>
              <w:top w:w="120" w:type="nil"/>
              <w:left w:w="120" w:type="nil"/>
              <w:bottom w:w="120" w:type="nil"/>
              <w:right w:w="120" w:type="nil"/>
            </w:tcMar>
          </w:tcPr>
          <w:p w14:paraId="5FF0DD22"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Mutual planning</w:t>
            </w:r>
          </w:p>
        </w:tc>
        <w:tc>
          <w:tcPr>
            <w:tcW w:w="8048" w:type="dxa"/>
            <w:tcMar>
              <w:top w:w="120" w:type="nil"/>
              <w:left w:w="120" w:type="nil"/>
              <w:bottom w:w="120" w:type="nil"/>
              <w:right w:w="120" w:type="nil"/>
            </w:tcMar>
          </w:tcPr>
          <w:p w14:paraId="36604861"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Implement a collaborative approach to the planning of the learning experience by engaging learners in planning their learning experience.</w:t>
            </w:r>
          </w:p>
        </w:tc>
      </w:tr>
      <w:tr w:rsidR="004058EB" w14:paraId="61E969A5" w14:textId="77777777" w:rsidTr="004058EB">
        <w:tblPrEx>
          <w:tblBorders>
            <w:top w:val="none" w:sz="0" w:space="0" w:color="auto"/>
          </w:tblBorders>
        </w:tblPrEx>
        <w:tc>
          <w:tcPr>
            <w:tcW w:w="5020" w:type="dxa"/>
            <w:tcMar>
              <w:top w:w="120" w:type="nil"/>
              <w:left w:w="120" w:type="nil"/>
              <w:bottom w:w="120" w:type="nil"/>
              <w:right w:w="120" w:type="nil"/>
            </w:tcMar>
          </w:tcPr>
          <w:p w14:paraId="020E001B"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Diagnosis of learning needs</w:t>
            </w:r>
          </w:p>
        </w:tc>
        <w:tc>
          <w:tcPr>
            <w:tcW w:w="8048" w:type="dxa"/>
            <w:tcMar>
              <w:top w:w="120" w:type="nil"/>
              <w:left w:w="120" w:type="nil"/>
              <w:bottom w:w="120" w:type="nil"/>
              <w:right w:w="120" w:type="nil"/>
            </w:tcMar>
          </w:tcPr>
          <w:p w14:paraId="6E26CF3E"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Learning needs are diagnosed through a process of mutual assessment.</w:t>
            </w:r>
          </w:p>
        </w:tc>
      </w:tr>
      <w:tr w:rsidR="004058EB" w14:paraId="4CD10653" w14:textId="77777777" w:rsidTr="004058EB">
        <w:tblPrEx>
          <w:tblBorders>
            <w:top w:val="none" w:sz="0" w:space="0" w:color="auto"/>
          </w:tblBorders>
        </w:tblPrEx>
        <w:tc>
          <w:tcPr>
            <w:tcW w:w="5020" w:type="dxa"/>
            <w:tcMar>
              <w:top w:w="120" w:type="nil"/>
              <w:left w:w="120" w:type="nil"/>
              <w:bottom w:w="120" w:type="nil"/>
              <w:right w:w="120" w:type="nil"/>
            </w:tcMar>
          </w:tcPr>
          <w:p w14:paraId="5286D3E7"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Set learning objectives</w:t>
            </w:r>
          </w:p>
        </w:tc>
        <w:tc>
          <w:tcPr>
            <w:tcW w:w="8048" w:type="dxa"/>
            <w:tcMar>
              <w:top w:w="120" w:type="nil"/>
              <w:left w:w="120" w:type="nil"/>
              <w:bottom w:w="120" w:type="nil"/>
              <w:right w:w="120" w:type="nil"/>
            </w:tcMar>
          </w:tcPr>
          <w:p w14:paraId="197C3384"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Learning objectives are defined through a process of mutual negotiation between the instructor and the adult learners.</w:t>
            </w:r>
          </w:p>
        </w:tc>
      </w:tr>
      <w:tr w:rsidR="004058EB" w14:paraId="7452824A" w14:textId="77777777" w:rsidTr="004058EB">
        <w:tblPrEx>
          <w:tblBorders>
            <w:top w:val="none" w:sz="0" w:space="0" w:color="auto"/>
          </w:tblBorders>
        </w:tblPrEx>
        <w:tc>
          <w:tcPr>
            <w:tcW w:w="5020" w:type="dxa"/>
            <w:tcMar>
              <w:top w:w="120" w:type="nil"/>
              <w:left w:w="120" w:type="nil"/>
              <w:bottom w:w="120" w:type="nil"/>
              <w:right w:w="120" w:type="nil"/>
            </w:tcMar>
          </w:tcPr>
          <w:p w14:paraId="09EC80E9"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lastRenderedPageBreak/>
              <w:t>Design of learning plans</w:t>
            </w:r>
          </w:p>
        </w:tc>
        <w:tc>
          <w:tcPr>
            <w:tcW w:w="8048" w:type="dxa"/>
            <w:tcMar>
              <w:top w:w="120" w:type="nil"/>
              <w:left w:w="120" w:type="nil"/>
              <w:bottom w:w="120" w:type="nil"/>
              <w:right w:w="120" w:type="nil"/>
            </w:tcMar>
          </w:tcPr>
          <w:p w14:paraId="511A2D8E"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Learning plans are most effective when oriented around learning contracts, projects and sequenced by readiness.</w:t>
            </w:r>
          </w:p>
        </w:tc>
      </w:tr>
      <w:tr w:rsidR="004058EB" w14:paraId="69958CE3" w14:textId="77777777" w:rsidTr="004058EB">
        <w:tblPrEx>
          <w:tblBorders>
            <w:top w:val="none" w:sz="0" w:space="0" w:color="auto"/>
          </w:tblBorders>
        </w:tblPrEx>
        <w:tc>
          <w:tcPr>
            <w:tcW w:w="5020" w:type="dxa"/>
            <w:tcMar>
              <w:top w:w="120" w:type="nil"/>
              <w:left w:w="120" w:type="nil"/>
              <w:bottom w:w="120" w:type="nil"/>
              <w:right w:w="120" w:type="nil"/>
            </w:tcMar>
          </w:tcPr>
          <w:p w14:paraId="1C5D4BB1"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Learning activities</w:t>
            </w:r>
          </w:p>
        </w:tc>
        <w:tc>
          <w:tcPr>
            <w:tcW w:w="8048" w:type="dxa"/>
            <w:tcMar>
              <w:top w:w="120" w:type="nil"/>
              <w:left w:w="120" w:type="nil"/>
              <w:bottom w:w="120" w:type="nil"/>
              <w:right w:w="120" w:type="nil"/>
            </w:tcMar>
          </w:tcPr>
          <w:p w14:paraId="422D940D"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The most effective activities include inquiry projects, independent study, and the use of experiential techniques.</w:t>
            </w:r>
          </w:p>
        </w:tc>
      </w:tr>
      <w:tr w:rsidR="004058EB" w14:paraId="041E347B" w14:textId="77777777" w:rsidTr="004058EB">
        <w:tblPrEx>
          <w:tblBorders>
            <w:top w:val="none" w:sz="0" w:space="0" w:color="auto"/>
            <w:bottom w:val="single" w:sz="8" w:space="0" w:color="6D6D6D"/>
          </w:tblBorders>
        </w:tblPrEx>
        <w:tc>
          <w:tcPr>
            <w:tcW w:w="5020" w:type="dxa"/>
            <w:tcMar>
              <w:top w:w="120" w:type="nil"/>
              <w:left w:w="120" w:type="nil"/>
              <w:bottom w:w="120" w:type="nil"/>
              <w:right w:w="120" w:type="nil"/>
            </w:tcMar>
          </w:tcPr>
          <w:p w14:paraId="294ADC53"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Evaluation of learning</w:t>
            </w:r>
          </w:p>
        </w:tc>
        <w:tc>
          <w:tcPr>
            <w:tcW w:w="8048" w:type="dxa"/>
            <w:tcMar>
              <w:top w:w="120" w:type="nil"/>
              <w:left w:w="120" w:type="nil"/>
              <w:bottom w:w="120" w:type="nil"/>
              <w:right w:w="120" w:type="nil"/>
            </w:tcMar>
          </w:tcPr>
          <w:p w14:paraId="37F3194B" w14:textId="77777777" w:rsidR="004058EB" w:rsidRDefault="004058EB">
            <w:pPr>
              <w:widowControl w:val="0"/>
              <w:autoSpaceDE w:val="0"/>
              <w:autoSpaceDN w:val="0"/>
              <w:adjustRightInd w:val="0"/>
              <w:spacing w:after="260"/>
              <w:rPr>
                <w:rFonts w:ascii="Arial" w:hAnsi="Arial" w:cs="Arial"/>
                <w:sz w:val="26"/>
                <w:szCs w:val="26"/>
              </w:rPr>
            </w:pPr>
            <w:r>
              <w:rPr>
                <w:rFonts w:ascii="Arial" w:hAnsi="Arial" w:cs="Arial"/>
                <w:sz w:val="26"/>
                <w:szCs w:val="26"/>
              </w:rPr>
              <w:t>Learning evaluation is most effective when done through the collection of learner collected evidence that is criterion-referenced and validated by peers or experts.</w:t>
            </w:r>
          </w:p>
        </w:tc>
      </w:tr>
    </w:tbl>
    <w:p w14:paraId="15D00B2F" w14:textId="77777777" w:rsidR="004058EB" w:rsidRDefault="004058EB" w:rsidP="004058EB">
      <w:pPr>
        <w:widowControl w:val="0"/>
        <w:autoSpaceDE w:val="0"/>
        <w:autoSpaceDN w:val="0"/>
        <w:adjustRightInd w:val="0"/>
        <w:spacing w:after="260"/>
        <w:rPr>
          <w:rFonts w:ascii="Arial" w:hAnsi="Arial" w:cs="Arial"/>
          <w:sz w:val="26"/>
          <w:szCs w:val="26"/>
        </w:rPr>
      </w:pPr>
      <w:r>
        <w:rPr>
          <w:rFonts w:ascii="Arial" w:hAnsi="Arial" w:cs="Arial"/>
          <w:sz w:val="26"/>
          <w:szCs w:val="26"/>
        </w:rPr>
        <w:t> </w:t>
      </w:r>
    </w:p>
    <w:p w14:paraId="6949BBE6" w14:textId="77777777" w:rsidR="004058EB" w:rsidRDefault="004058EB" w:rsidP="004058EB">
      <w:pPr>
        <w:widowControl w:val="0"/>
        <w:autoSpaceDE w:val="0"/>
        <w:autoSpaceDN w:val="0"/>
        <w:adjustRightInd w:val="0"/>
        <w:spacing w:after="260"/>
        <w:rPr>
          <w:rFonts w:ascii="Arial" w:hAnsi="Arial" w:cs="Arial"/>
          <w:sz w:val="26"/>
          <w:szCs w:val="26"/>
        </w:rPr>
      </w:pPr>
    </w:p>
    <w:p w14:paraId="4CBA5EBD" w14:textId="77777777" w:rsidR="004058EB" w:rsidRDefault="004058EB" w:rsidP="004058EB">
      <w:pPr>
        <w:widowControl w:val="0"/>
        <w:autoSpaceDE w:val="0"/>
        <w:autoSpaceDN w:val="0"/>
        <w:adjustRightInd w:val="0"/>
        <w:spacing w:after="260"/>
        <w:jc w:val="center"/>
        <w:rPr>
          <w:rFonts w:ascii="Arial" w:hAnsi="Arial" w:cs="Arial"/>
          <w:sz w:val="26"/>
          <w:szCs w:val="26"/>
        </w:rPr>
      </w:pPr>
      <w:r>
        <w:rPr>
          <w:rFonts w:ascii="Arial" w:hAnsi="Arial" w:cs="Arial"/>
          <w:sz w:val="26"/>
          <w:szCs w:val="26"/>
        </w:rPr>
        <w:t>References</w:t>
      </w:r>
    </w:p>
    <w:p w14:paraId="24D15FFD" w14:textId="77777777" w:rsidR="004058EB" w:rsidRDefault="004058EB" w:rsidP="004058EB">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 Holton, E. F., Swanson Wilson, L., &amp; Bates, R. A. (2009). Toward development of a generalized instrument to measure andragogy. </w:t>
      </w:r>
      <w:r>
        <w:rPr>
          <w:rFonts w:ascii="Arial" w:hAnsi="Arial" w:cs="Arial"/>
          <w:i/>
          <w:iCs/>
          <w:sz w:val="26"/>
          <w:szCs w:val="26"/>
        </w:rPr>
        <w:t>Human Resource Development Quarterly, 20</w:t>
      </w:r>
      <w:r>
        <w:rPr>
          <w:rFonts w:ascii="Arial" w:hAnsi="Arial" w:cs="Arial"/>
          <w:sz w:val="26"/>
          <w:szCs w:val="26"/>
        </w:rPr>
        <w:t>(2), 169-193. doi:10.1002/hrdq.20014</w:t>
      </w:r>
    </w:p>
    <w:p w14:paraId="0F5C32E5" w14:textId="77777777" w:rsidR="004058EB" w:rsidRDefault="004058EB" w:rsidP="004058EB">
      <w:pPr>
        <w:widowControl w:val="0"/>
        <w:autoSpaceDE w:val="0"/>
        <w:autoSpaceDN w:val="0"/>
        <w:adjustRightInd w:val="0"/>
        <w:spacing w:after="260"/>
        <w:rPr>
          <w:rFonts w:ascii="Arial" w:hAnsi="Arial" w:cs="Arial"/>
          <w:sz w:val="26"/>
          <w:szCs w:val="26"/>
        </w:rPr>
      </w:pPr>
      <w:r>
        <w:rPr>
          <w:rFonts w:ascii="Arial" w:hAnsi="Arial" w:cs="Arial"/>
          <w:sz w:val="26"/>
          <w:szCs w:val="26"/>
        </w:rPr>
        <w:t>Holton, E. F., &amp; Bates, R. A. (2008).  The andragogy in practice inventory. Technical report: Louisiana State University.</w:t>
      </w:r>
    </w:p>
    <w:p w14:paraId="5F1947B1" w14:textId="77777777" w:rsidR="006441E2" w:rsidRDefault="006441E2"/>
    <w:sectPr w:rsidR="006441E2" w:rsidSect="004058EB">
      <w:headerReference w:type="even" r:id="rId7"/>
      <w:headerReference w:type="default" r:id="rId8"/>
      <w:pgSz w:w="15840" w:h="12240" w:orient="landscape"/>
      <w:pgMar w:top="1800" w:right="1440" w:bottom="180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0810" w14:textId="77777777" w:rsidR="005662A7" w:rsidRDefault="005662A7" w:rsidP="005662A7">
      <w:r>
        <w:separator/>
      </w:r>
    </w:p>
  </w:endnote>
  <w:endnote w:type="continuationSeparator" w:id="0">
    <w:p w14:paraId="135B62D4" w14:textId="77777777" w:rsidR="005662A7" w:rsidRDefault="005662A7" w:rsidP="0056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03C99" w14:textId="77777777" w:rsidR="005662A7" w:rsidRDefault="005662A7" w:rsidP="005662A7">
      <w:r>
        <w:separator/>
      </w:r>
    </w:p>
  </w:footnote>
  <w:footnote w:type="continuationSeparator" w:id="0">
    <w:p w14:paraId="26A260AA" w14:textId="77777777" w:rsidR="005662A7" w:rsidRDefault="005662A7" w:rsidP="00566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EDDA" w14:textId="77777777" w:rsidR="005662A7" w:rsidRDefault="005662A7" w:rsidP="005662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8A886" w14:textId="77777777" w:rsidR="005662A7" w:rsidRDefault="005662A7" w:rsidP="005662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2FA2" w14:textId="77777777" w:rsidR="005662A7" w:rsidRDefault="005662A7" w:rsidP="005662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B38">
      <w:rPr>
        <w:rStyle w:val="PageNumber"/>
        <w:noProof/>
      </w:rPr>
      <w:t>1</w:t>
    </w:r>
    <w:r>
      <w:rPr>
        <w:rStyle w:val="PageNumber"/>
      </w:rPr>
      <w:fldChar w:fldCharType="end"/>
    </w:r>
  </w:p>
  <w:p w14:paraId="7E763629" w14:textId="77777777" w:rsidR="005662A7" w:rsidRDefault="005662A7" w:rsidP="005662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EB"/>
    <w:rsid w:val="004058EB"/>
    <w:rsid w:val="005662A7"/>
    <w:rsid w:val="006441E2"/>
    <w:rsid w:val="00EC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2E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7"/>
    <w:pPr>
      <w:tabs>
        <w:tab w:val="center" w:pos="4320"/>
        <w:tab w:val="right" w:pos="8640"/>
      </w:tabs>
    </w:pPr>
  </w:style>
  <w:style w:type="character" w:customStyle="1" w:styleId="HeaderChar">
    <w:name w:val="Header Char"/>
    <w:basedOn w:val="DefaultParagraphFont"/>
    <w:link w:val="Header"/>
    <w:uiPriority w:val="99"/>
    <w:rsid w:val="005662A7"/>
  </w:style>
  <w:style w:type="character" w:styleId="PageNumber">
    <w:name w:val="page number"/>
    <w:basedOn w:val="DefaultParagraphFont"/>
    <w:uiPriority w:val="99"/>
    <w:semiHidden/>
    <w:unhideWhenUsed/>
    <w:rsid w:val="005662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7"/>
    <w:pPr>
      <w:tabs>
        <w:tab w:val="center" w:pos="4320"/>
        <w:tab w:val="right" w:pos="8640"/>
      </w:tabs>
    </w:pPr>
  </w:style>
  <w:style w:type="character" w:customStyle="1" w:styleId="HeaderChar">
    <w:name w:val="Header Char"/>
    <w:basedOn w:val="DefaultParagraphFont"/>
    <w:link w:val="Header"/>
    <w:uiPriority w:val="99"/>
    <w:rsid w:val="005662A7"/>
  </w:style>
  <w:style w:type="character" w:styleId="PageNumber">
    <w:name w:val="page number"/>
    <w:basedOn w:val="DefaultParagraphFont"/>
    <w:uiPriority w:val="99"/>
    <w:semiHidden/>
    <w:unhideWhenUsed/>
    <w:rsid w:val="0056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450</Words>
  <Characters>2569</Characters>
  <Application/>
  <DocSecurity>0</DocSecurity>
  <Lines>21</Lines>
  <Paragraphs>6</Paragraphs>
  <ScaleCrop>false</ScaleCrop>
  <Company/>
  <LinksUpToDate>false</LinksUpToDate>
  <CharactersWithSpaces>3013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