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thumbnail" Target="docProps/thumbnail.jpeg"/>
  <Relationship Id="rId3" Type="http://schemas.openxmlformats.org/package/2006/relationships/metadata/core-properties" Target="docProps/core.xml"/>
  <Relationship Id="rId4" Type="http://schemas.openxmlformats.org/officeDocument/2006/relationships/extended-properties" Target="docProps/app.xml"/>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4EC149" w14:textId="77777777" w:rsidR="004058EB" w:rsidRPr="004058EB" w:rsidRDefault="004058EB" w:rsidP="004058EB">
      <w:pPr>
        <w:widowControl w:val="0"/>
        <w:autoSpaceDE w:val="0"/>
        <w:autoSpaceDN w:val="0"/>
        <w:adjustRightInd w:val="0"/>
        <w:spacing w:after="260"/>
        <w:jc w:val="center"/>
        <w:rPr>
          <w:rFonts w:ascii="Arial" w:hAnsi="Arial" w:cs="Arial"/>
          <w:b/>
          <w:sz w:val="26"/>
          <w:szCs w:val="26"/>
        </w:rPr>
      </w:pPr>
      <w:bookmarkStart w:id="0" w:name="_GoBack"/>
      <w:bookmarkEnd w:id="0"/>
      <w:r w:rsidRPr="004058EB">
        <w:rPr>
          <w:rFonts w:ascii="Arial" w:hAnsi="Arial" w:cs="Arial"/>
          <w:b/>
          <w:sz w:val="26"/>
          <w:szCs w:val="26"/>
        </w:rPr>
        <w:t>Andragogy in Practice Inventory</w:t>
      </w:r>
    </w:p>
    <w:p w14:paraId="5A59D85F" w14:textId="77777777" w:rsidR="004058EB" w:rsidRDefault="004058EB" w:rsidP="004058EB">
      <w:pPr>
        <w:widowControl w:val="0"/>
        <w:autoSpaceDE w:val="0"/>
        <w:autoSpaceDN w:val="0"/>
        <w:adjustRightInd w:val="0"/>
        <w:spacing w:after="260"/>
        <w:rPr>
          <w:rFonts w:ascii="Arial" w:hAnsi="Arial" w:cs="Arial"/>
          <w:sz w:val="26"/>
          <w:szCs w:val="26"/>
        </w:rPr>
      </w:pPr>
      <w:r>
        <w:rPr>
          <w:rFonts w:ascii="Arial" w:hAnsi="Arial" w:cs="Arial"/>
          <w:sz w:val="26"/>
          <w:szCs w:val="26"/>
        </w:rPr>
        <w:t>The API in very simple terms is used to assess how closely a learning activity is perceived to adhere with the principles and design elements of andragogy (see tables below).</w:t>
      </w:r>
    </w:p>
    <w:p w14:paraId="43CE9FF5" w14:textId="77777777" w:rsidR="004058EB" w:rsidRDefault="004058EB" w:rsidP="004058EB">
      <w:pPr>
        <w:widowControl w:val="0"/>
        <w:autoSpaceDE w:val="0"/>
        <w:autoSpaceDN w:val="0"/>
        <w:adjustRightInd w:val="0"/>
        <w:spacing w:after="260"/>
        <w:rPr>
          <w:rFonts w:ascii="Arial" w:hAnsi="Arial" w:cs="Arial"/>
          <w:sz w:val="26"/>
          <w:szCs w:val="26"/>
        </w:rPr>
      </w:pPr>
      <w:r>
        <w:rPr>
          <w:rFonts w:ascii="Arial" w:hAnsi="Arial" w:cs="Arial"/>
          <w:sz w:val="26"/>
          <w:szCs w:val="26"/>
        </w:rPr>
        <w:t>Table 1: Principles of Andragogy</w:t>
      </w:r>
    </w:p>
    <w:tbl>
      <w:tblPr>
        <w:tblW w:w="13050" w:type="dxa"/>
        <w:tblInd w:w="18" w:type="dxa"/>
        <w:tblBorders>
          <w:top w:val="single" w:sz="8" w:space="0" w:color="6D6D6D"/>
          <w:left w:val="single" w:sz="8" w:space="0" w:color="6D6D6D"/>
          <w:right w:val="single" w:sz="8" w:space="0" w:color="6D6D6D"/>
        </w:tblBorders>
        <w:tblLayout w:type="fixed"/>
        <w:tblLook w:val="0000" w:firstRow="0" w:lastRow="0" w:firstColumn="0" w:lastColumn="0" w:noHBand="0" w:noVBand="0"/>
      </w:tblPr>
      <w:tblGrid>
        <w:gridCol w:w="5040"/>
        <w:gridCol w:w="8010"/>
      </w:tblGrid>
      <w:tr w:rsidR="004058EB" w14:paraId="43E3F7D8" w14:textId="77777777" w:rsidTr="004058EB">
        <w:tc>
          <w:tcPr>
            <w:tcW w:w="13050" w:type="dxa"/>
            <w:gridSpan w:val="2"/>
            <w:tcMar>
              <w:top w:w="120" w:type="nil"/>
              <w:left w:w="120" w:type="nil"/>
              <w:bottom w:w="120" w:type="nil"/>
              <w:right w:w="120" w:type="nil"/>
            </w:tcMar>
          </w:tcPr>
          <w:p w14:paraId="68DB65F9" w14:textId="77777777" w:rsidR="004058EB" w:rsidRDefault="004058EB">
            <w:pPr>
              <w:widowControl w:val="0"/>
              <w:autoSpaceDE w:val="0"/>
              <w:autoSpaceDN w:val="0"/>
              <w:adjustRightInd w:val="0"/>
              <w:spacing w:after="260"/>
              <w:jc w:val="center"/>
              <w:rPr>
                <w:rFonts w:ascii="Arial" w:hAnsi="Arial" w:cs="Arial"/>
                <w:sz w:val="26"/>
                <w:szCs w:val="26"/>
              </w:rPr>
            </w:pPr>
            <w:r>
              <w:rPr>
                <w:rFonts w:ascii="Arial" w:hAnsi="Arial" w:cs="Arial"/>
                <w:sz w:val="26"/>
                <w:szCs w:val="26"/>
              </w:rPr>
              <w:t>Six Principles of Andragogy</w:t>
            </w:r>
          </w:p>
        </w:tc>
      </w:tr>
      <w:tr w:rsidR="004058EB" w14:paraId="652B4156" w14:textId="77777777" w:rsidTr="004058EB">
        <w:tblPrEx>
          <w:tblBorders>
            <w:top w:val="none" w:sz="0" w:space="0" w:color="auto"/>
          </w:tblBorders>
        </w:tblPrEx>
        <w:tc>
          <w:tcPr>
            <w:tcW w:w="5040" w:type="dxa"/>
            <w:tcMar>
              <w:top w:w="120" w:type="nil"/>
              <w:left w:w="120" w:type="nil"/>
              <w:bottom w:w="120" w:type="nil"/>
              <w:right w:w="120" w:type="nil"/>
            </w:tcMar>
          </w:tcPr>
          <w:p w14:paraId="1BA7F303" w14:textId="77777777" w:rsidR="004058EB" w:rsidRDefault="004058EB">
            <w:pPr>
              <w:widowControl w:val="0"/>
              <w:autoSpaceDE w:val="0"/>
              <w:autoSpaceDN w:val="0"/>
              <w:adjustRightInd w:val="0"/>
              <w:spacing w:after="260"/>
              <w:rPr>
                <w:rFonts w:ascii="Arial" w:hAnsi="Arial" w:cs="Arial"/>
                <w:sz w:val="26"/>
                <w:szCs w:val="26"/>
              </w:rPr>
            </w:pPr>
            <w:r>
              <w:rPr>
                <w:rFonts w:ascii="Arial" w:hAnsi="Arial" w:cs="Arial"/>
                <w:sz w:val="26"/>
                <w:szCs w:val="26"/>
              </w:rPr>
              <w:t>Intrinsic motivation to learn</w:t>
            </w:r>
          </w:p>
        </w:tc>
        <w:tc>
          <w:tcPr>
            <w:tcW w:w="8010" w:type="dxa"/>
            <w:tcMar>
              <w:top w:w="120" w:type="nil"/>
              <w:left w:w="120" w:type="nil"/>
              <w:bottom w:w="120" w:type="nil"/>
              <w:right w:w="120" w:type="nil"/>
            </w:tcMar>
          </w:tcPr>
          <w:p w14:paraId="15226FE4" w14:textId="77777777" w:rsidR="004058EB" w:rsidRDefault="004058EB">
            <w:pPr>
              <w:widowControl w:val="0"/>
              <w:autoSpaceDE w:val="0"/>
              <w:autoSpaceDN w:val="0"/>
              <w:adjustRightInd w:val="0"/>
              <w:spacing w:after="260"/>
              <w:rPr>
                <w:rFonts w:ascii="Arial" w:hAnsi="Arial" w:cs="Arial"/>
                <w:sz w:val="26"/>
                <w:szCs w:val="26"/>
              </w:rPr>
            </w:pPr>
            <w:r>
              <w:rPr>
                <w:rFonts w:ascii="Arial" w:hAnsi="Arial" w:cs="Arial"/>
                <w:sz w:val="26"/>
                <w:szCs w:val="26"/>
              </w:rPr>
              <w:t>The learning that has the most meaning for adults is that which has personal value.</w:t>
            </w:r>
          </w:p>
        </w:tc>
      </w:tr>
      <w:tr w:rsidR="004058EB" w14:paraId="1B9F2D85" w14:textId="77777777" w:rsidTr="004058EB">
        <w:tblPrEx>
          <w:tblBorders>
            <w:top w:val="none" w:sz="0" w:space="0" w:color="auto"/>
          </w:tblBorders>
        </w:tblPrEx>
        <w:tc>
          <w:tcPr>
            <w:tcW w:w="5040" w:type="dxa"/>
            <w:tcMar>
              <w:top w:w="120" w:type="nil"/>
              <w:left w:w="120" w:type="nil"/>
              <w:bottom w:w="120" w:type="nil"/>
              <w:right w:w="120" w:type="nil"/>
            </w:tcMar>
          </w:tcPr>
          <w:p w14:paraId="47767355" w14:textId="77777777" w:rsidR="004058EB" w:rsidRDefault="004058EB">
            <w:pPr>
              <w:widowControl w:val="0"/>
              <w:autoSpaceDE w:val="0"/>
              <w:autoSpaceDN w:val="0"/>
              <w:adjustRightInd w:val="0"/>
              <w:spacing w:after="260"/>
              <w:rPr>
                <w:rFonts w:ascii="Arial" w:hAnsi="Arial" w:cs="Arial"/>
                <w:sz w:val="26"/>
                <w:szCs w:val="26"/>
              </w:rPr>
            </w:pPr>
            <w:r>
              <w:rPr>
                <w:rFonts w:ascii="Arial" w:hAnsi="Arial" w:cs="Arial"/>
                <w:sz w:val="26"/>
                <w:szCs w:val="26"/>
              </w:rPr>
              <w:t>Readiness to learn</w:t>
            </w:r>
          </w:p>
        </w:tc>
        <w:tc>
          <w:tcPr>
            <w:tcW w:w="8010" w:type="dxa"/>
            <w:tcMar>
              <w:top w:w="120" w:type="nil"/>
              <w:left w:w="120" w:type="nil"/>
              <w:bottom w:w="120" w:type="nil"/>
              <w:right w:w="120" w:type="nil"/>
            </w:tcMar>
          </w:tcPr>
          <w:p w14:paraId="26335DB8" w14:textId="77777777" w:rsidR="004058EB" w:rsidRDefault="004058EB">
            <w:pPr>
              <w:widowControl w:val="0"/>
              <w:autoSpaceDE w:val="0"/>
              <w:autoSpaceDN w:val="0"/>
              <w:adjustRightInd w:val="0"/>
              <w:spacing w:after="260"/>
              <w:rPr>
                <w:rFonts w:ascii="Arial" w:hAnsi="Arial" w:cs="Arial"/>
                <w:sz w:val="26"/>
                <w:szCs w:val="26"/>
              </w:rPr>
            </w:pPr>
            <w:r>
              <w:rPr>
                <w:rFonts w:ascii="Arial" w:hAnsi="Arial" w:cs="Arial"/>
                <w:sz w:val="26"/>
                <w:szCs w:val="26"/>
              </w:rPr>
              <w:t>Teaching and learning efforts are most effective with adults who are prepared by life or work challenges to engage in new learning (i.e., learning that helps them solve problems or issues they recognize in their lives/work).</w:t>
            </w:r>
          </w:p>
        </w:tc>
      </w:tr>
      <w:tr w:rsidR="004058EB" w14:paraId="4DF8D9EB" w14:textId="77777777" w:rsidTr="004058EB">
        <w:tblPrEx>
          <w:tblBorders>
            <w:top w:val="none" w:sz="0" w:space="0" w:color="auto"/>
          </w:tblBorders>
        </w:tblPrEx>
        <w:tc>
          <w:tcPr>
            <w:tcW w:w="5040" w:type="dxa"/>
            <w:tcMar>
              <w:top w:w="120" w:type="nil"/>
              <w:left w:w="120" w:type="nil"/>
              <w:bottom w:w="120" w:type="nil"/>
              <w:right w:w="120" w:type="nil"/>
            </w:tcMar>
          </w:tcPr>
          <w:p w14:paraId="44A1FA58" w14:textId="77777777" w:rsidR="004058EB" w:rsidRDefault="004058EB">
            <w:pPr>
              <w:widowControl w:val="0"/>
              <w:autoSpaceDE w:val="0"/>
              <w:autoSpaceDN w:val="0"/>
              <w:adjustRightInd w:val="0"/>
              <w:spacing w:after="260"/>
              <w:rPr>
                <w:rFonts w:ascii="Arial" w:hAnsi="Arial" w:cs="Arial"/>
                <w:sz w:val="26"/>
                <w:szCs w:val="26"/>
              </w:rPr>
            </w:pPr>
            <w:r>
              <w:rPr>
                <w:rFonts w:ascii="Arial" w:hAnsi="Arial" w:cs="Arial"/>
                <w:sz w:val="26"/>
                <w:szCs w:val="26"/>
              </w:rPr>
              <w:t>Prior experience</w:t>
            </w:r>
          </w:p>
        </w:tc>
        <w:tc>
          <w:tcPr>
            <w:tcW w:w="8010" w:type="dxa"/>
            <w:tcMar>
              <w:top w:w="120" w:type="nil"/>
              <w:left w:w="120" w:type="nil"/>
              <w:bottom w:w="120" w:type="nil"/>
              <w:right w:w="120" w:type="nil"/>
            </w:tcMar>
          </w:tcPr>
          <w:p w14:paraId="150DD032" w14:textId="77777777" w:rsidR="004058EB" w:rsidRDefault="004058EB">
            <w:pPr>
              <w:widowControl w:val="0"/>
              <w:autoSpaceDE w:val="0"/>
              <w:autoSpaceDN w:val="0"/>
              <w:adjustRightInd w:val="0"/>
              <w:spacing w:after="260"/>
              <w:rPr>
                <w:rFonts w:ascii="Arial" w:hAnsi="Arial" w:cs="Arial"/>
                <w:sz w:val="26"/>
                <w:szCs w:val="26"/>
              </w:rPr>
            </w:pPr>
            <w:r>
              <w:rPr>
                <w:rFonts w:ascii="Arial" w:hAnsi="Arial" w:cs="Arial"/>
                <w:sz w:val="26"/>
                <w:szCs w:val="26"/>
              </w:rPr>
              <w:t>Current and past experience is seen as a rich resource for learning by self and others</w:t>
            </w:r>
          </w:p>
        </w:tc>
      </w:tr>
      <w:tr w:rsidR="004058EB" w14:paraId="2A12A580" w14:textId="77777777" w:rsidTr="004058EB">
        <w:tblPrEx>
          <w:tblBorders>
            <w:top w:val="none" w:sz="0" w:space="0" w:color="auto"/>
          </w:tblBorders>
        </w:tblPrEx>
        <w:tc>
          <w:tcPr>
            <w:tcW w:w="5040" w:type="dxa"/>
            <w:tcMar>
              <w:top w:w="120" w:type="nil"/>
              <w:left w:w="120" w:type="nil"/>
              <w:bottom w:w="120" w:type="nil"/>
              <w:right w:w="120" w:type="nil"/>
            </w:tcMar>
          </w:tcPr>
          <w:p w14:paraId="5ECCD859" w14:textId="77777777" w:rsidR="004058EB" w:rsidRDefault="004058EB">
            <w:pPr>
              <w:widowControl w:val="0"/>
              <w:autoSpaceDE w:val="0"/>
              <w:autoSpaceDN w:val="0"/>
              <w:adjustRightInd w:val="0"/>
              <w:spacing w:after="260"/>
              <w:rPr>
                <w:rFonts w:ascii="Arial" w:hAnsi="Arial" w:cs="Arial"/>
                <w:sz w:val="26"/>
                <w:szCs w:val="26"/>
              </w:rPr>
            </w:pPr>
            <w:r>
              <w:rPr>
                <w:rFonts w:ascii="Arial" w:hAnsi="Arial" w:cs="Arial"/>
                <w:sz w:val="26"/>
                <w:szCs w:val="26"/>
              </w:rPr>
              <w:t>Orientation to learning</w:t>
            </w:r>
          </w:p>
        </w:tc>
        <w:tc>
          <w:tcPr>
            <w:tcW w:w="8010" w:type="dxa"/>
            <w:tcMar>
              <w:top w:w="120" w:type="nil"/>
              <w:left w:w="120" w:type="nil"/>
              <w:bottom w:w="120" w:type="nil"/>
              <w:right w:w="120" w:type="nil"/>
            </w:tcMar>
          </w:tcPr>
          <w:p w14:paraId="7394AF36" w14:textId="77777777" w:rsidR="004058EB" w:rsidRDefault="004058EB">
            <w:pPr>
              <w:widowControl w:val="0"/>
              <w:autoSpaceDE w:val="0"/>
              <w:autoSpaceDN w:val="0"/>
              <w:adjustRightInd w:val="0"/>
              <w:spacing w:after="260"/>
              <w:rPr>
                <w:rFonts w:ascii="Arial" w:hAnsi="Arial" w:cs="Arial"/>
                <w:sz w:val="26"/>
                <w:szCs w:val="26"/>
              </w:rPr>
            </w:pPr>
            <w:r>
              <w:rPr>
                <w:rFonts w:ascii="Arial" w:hAnsi="Arial" w:cs="Arial"/>
                <w:sz w:val="26"/>
                <w:szCs w:val="26"/>
              </w:rPr>
              <w:t>Adults prefer problem-solving approach, not a subject-centered approach to learning and learn best when new learning is couched in real-life context.</w:t>
            </w:r>
          </w:p>
        </w:tc>
      </w:tr>
      <w:tr w:rsidR="004058EB" w14:paraId="76EA634D" w14:textId="77777777" w:rsidTr="004058EB">
        <w:tblPrEx>
          <w:tblBorders>
            <w:top w:val="none" w:sz="0" w:space="0" w:color="auto"/>
          </w:tblBorders>
        </w:tblPrEx>
        <w:tc>
          <w:tcPr>
            <w:tcW w:w="5040" w:type="dxa"/>
            <w:tcMar>
              <w:top w:w="120" w:type="nil"/>
              <w:left w:w="120" w:type="nil"/>
              <w:bottom w:w="120" w:type="nil"/>
              <w:right w:w="120" w:type="nil"/>
            </w:tcMar>
          </w:tcPr>
          <w:p w14:paraId="2863F525" w14:textId="77777777" w:rsidR="004058EB" w:rsidRDefault="004058EB">
            <w:pPr>
              <w:widowControl w:val="0"/>
              <w:autoSpaceDE w:val="0"/>
              <w:autoSpaceDN w:val="0"/>
              <w:adjustRightInd w:val="0"/>
              <w:spacing w:after="260"/>
              <w:rPr>
                <w:rFonts w:ascii="Arial" w:hAnsi="Arial" w:cs="Arial"/>
                <w:sz w:val="26"/>
                <w:szCs w:val="26"/>
              </w:rPr>
            </w:pPr>
            <w:r>
              <w:rPr>
                <w:rFonts w:ascii="Arial" w:hAnsi="Arial" w:cs="Arial"/>
                <w:sz w:val="26"/>
                <w:szCs w:val="26"/>
              </w:rPr>
              <w:t>Self-directed learning</w:t>
            </w:r>
          </w:p>
        </w:tc>
        <w:tc>
          <w:tcPr>
            <w:tcW w:w="8010" w:type="dxa"/>
            <w:tcMar>
              <w:top w:w="120" w:type="nil"/>
              <w:left w:w="120" w:type="nil"/>
              <w:bottom w:w="120" w:type="nil"/>
              <w:right w:w="120" w:type="nil"/>
            </w:tcMar>
          </w:tcPr>
          <w:p w14:paraId="1DC05786" w14:textId="77777777" w:rsidR="004058EB" w:rsidRDefault="004058EB">
            <w:pPr>
              <w:widowControl w:val="0"/>
              <w:autoSpaceDE w:val="0"/>
              <w:autoSpaceDN w:val="0"/>
              <w:adjustRightInd w:val="0"/>
              <w:spacing w:after="260"/>
              <w:rPr>
                <w:rFonts w:ascii="Arial" w:hAnsi="Arial" w:cs="Arial"/>
                <w:sz w:val="26"/>
                <w:szCs w:val="26"/>
              </w:rPr>
            </w:pPr>
            <w:r>
              <w:rPr>
                <w:rFonts w:ascii="Arial" w:hAnsi="Arial" w:cs="Arial"/>
                <w:sz w:val="26"/>
                <w:szCs w:val="26"/>
              </w:rPr>
              <w:t>Adults learn best when they have the opportunity to control or have input into the goals and purposes of a learning experience and have some personal autonomy in making decisions in how teaching and learning occurs. </w:t>
            </w:r>
          </w:p>
        </w:tc>
      </w:tr>
      <w:tr w:rsidR="004058EB" w14:paraId="66C90BC9" w14:textId="77777777" w:rsidTr="004058EB">
        <w:tblPrEx>
          <w:tblBorders>
            <w:top w:val="none" w:sz="0" w:space="0" w:color="auto"/>
            <w:bottom w:val="single" w:sz="8" w:space="0" w:color="6D6D6D"/>
          </w:tblBorders>
        </w:tblPrEx>
        <w:tc>
          <w:tcPr>
            <w:tcW w:w="5040" w:type="dxa"/>
            <w:tcMar>
              <w:top w:w="120" w:type="nil"/>
              <w:left w:w="120" w:type="nil"/>
              <w:bottom w:w="120" w:type="nil"/>
              <w:right w:w="120" w:type="nil"/>
            </w:tcMar>
          </w:tcPr>
          <w:p w14:paraId="18F086F2" w14:textId="77777777" w:rsidR="004058EB" w:rsidRDefault="004058EB">
            <w:pPr>
              <w:widowControl w:val="0"/>
              <w:autoSpaceDE w:val="0"/>
              <w:autoSpaceDN w:val="0"/>
              <w:adjustRightInd w:val="0"/>
              <w:spacing w:after="260"/>
              <w:rPr>
                <w:rFonts w:ascii="Arial" w:hAnsi="Arial" w:cs="Arial"/>
                <w:sz w:val="26"/>
                <w:szCs w:val="26"/>
              </w:rPr>
            </w:pPr>
            <w:r>
              <w:rPr>
                <w:rFonts w:ascii="Arial" w:hAnsi="Arial" w:cs="Arial"/>
                <w:sz w:val="26"/>
                <w:szCs w:val="26"/>
              </w:rPr>
              <w:lastRenderedPageBreak/>
              <w:t>Need to know</w:t>
            </w:r>
          </w:p>
        </w:tc>
        <w:tc>
          <w:tcPr>
            <w:tcW w:w="8010" w:type="dxa"/>
            <w:tcMar>
              <w:top w:w="120" w:type="nil"/>
              <w:left w:w="120" w:type="nil"/>
              <w:bottom w:w="120" w:type="nil"/>
              <w:right w:w="120" w:type="nil"/>
            </w:tcMar>
          </w:tcPr>
          <w:p w14:paraId="5E75C30F" w14:textId="77777777" w:rsidR="004058EB" w:rsidRDefault="004058EB">
            <w:pPr>
              <w:widowControl w:val="0"/>
              <w:autoSpaceDE w:val="0"/>
              <w:autoSpaceDN w:val="0"/>
              <w:adjustRightInd w:val="0"/>
              <w:spacing w:after="260"/>
              <w:rPr>
                <w:rFonts w:ascii="Arial" w:hAnsi="Arial" w:cs="Arial"/>
                <w:sz w:val="26"/>
                <w:szCs w:val="26"/>
              </w:rPr>
            </w:pPr>
            <w:r>
              <w:rPr>
                <w:rFonts w:ascii="Arial" w:hAnsi="Arial" w:cs="Arial"/>
                <w:sz w:val="26"/>
                <w:szCs w:val="26"/>
              </w:rPr>
              <w:t>Adults need advance information about training or learning experiences in order to evaluate its relevance.  This could also include some advance involvement in designing and planning training.</w:t>
            </w:r>
          </w:p>
        </w:tc>
      </w:tr>
    </w:tbl>
    <w:p w14:paraId="49D60917" w14:textId="77777777" w:rsidR="004058EB" w:rsidRDefault="004058EB" w:rsidP="004058EB">
      <w:pPr>
        <w:widowControl w:val="0"/>
        <w:autoSpaceDE w:val="0"/>
        <w:autoSpaceDN w:val="0"/>
        <w:adjustRightInd w:val="0"/>
        <w:spacing w:after="260"/>
        <w:rPr>
          <w:rFonts w:ascii="Arial" w:hAnsi="Arial" w:cs="Arial"/>
          <w:sz w:val="26"/>
          <w:szCs w:val="26"/>
        </w:rPr>
      </w:pPr>
      <w:r>
        <w:rPr>
          <w:rFonts w:ascii="Arial" w:hAnsi="Arial" w:cs="Arial"/>
          <w:sz w:val="26"/>
          <w:szCs w:val="26"/>
        </w:rPr>
        <w:t> </w:t>
      </w:r>
    </w:p>
    <w:p w14:paraId="3327A6DA" w14:textId="77777777" w:rsidR="004058EB" w:rsidRDefault="004058EB" w:rsidP="004058EB">
      <w:pPr>
        <w:widowControl w:val="0"/>
        <w:autoSpaceDE w:val="0"/>
        <w:autoSpaceDN w:val="0"/>
        <w:adjustRightInd w:val="0"/>
        <w:spacing w:after="260"/>
        <w:rPr>
          <w:rFonts w:ascii="Arial" w:hAnsi="Arial" w:cs="Arial"/>
          <w:sz w:val="26"/>
          <w:szCs w:val="26"/>
        </w:rPr>
      </w:pPr>
      <w:r>
        <w:rPr>
          <w:rFonts w:ascii="Arial" w:hAnsi="Arial" w:cs="Arial"/>
          <w:sz w:val="26"/>
          <w:szCs w:val="26"/>
        </w:rPr>
        <w:t>Table 2: Learning Process Design Elements for Adult Learners</w:t>
      </w:r>
    </w:p>
    <w:tbl>
      <w:tblPr>
        <w:tblW w:w="13068" w:type="dxa"/>
        <w:tblBorders>
          <w:top w:val="single" w:sz="8" w:space="0" w:color="6D6D6D"/>
          <w:left w:val="single" w:sz="8" w:space="0" w:color="6D6D6D"/>
          <w:right w:val="single" w:sz="8" w:space="0" w:color="6D6D6D"/>
        </w:tblBorders>
        <w:tblLayout w:type="fixed"/>
        <w:tblLook w:val="0000" w:firstRow="0" w:lastRow="0" w:firstColumn="0" w:lastColumn="0" w:noHBand="0" w:noVBand="0"/>
      </w:tblPr>
      <w:tblGrid>
        <w:gridCol w:w="5020"/>
        <w:gridCol w:w="8048"/>
      </w:tblGrid>
      <w:tr w:rsidR="004058EB" w14:paraId="01E3018A" w14:textId="77777777" w:rsidTr="004058EB">
        <w:tc>
          <w:tcPr>
            <w:tcW w:w="13068" w:type="dxa"/>
            <w:gridSpan w:val="2"/>
            <w:tcMar>
              <w:top w:w="120" w:type="nil"/>
              <w:left w:w="120" w:type="nil"/>
              <w:bottom w:w="120" w:type="nil"/>
              <w:right w:w="120" w:type="nil"/>
            </w:tcMar>
          </w:tcPr>
          <w:p w14:paraId="1338B777" w14:textId="77777777" w:rsidR="004058EB" w:rsidRDefault="004058EB" w:rsidP="004058EB">
            <w:pPr>
              <w:widowControl w:val="0"/>
              <w:autoSpaceDE w:val="0"/>
              <w:autoSpaceDN w:val="0"/>
              <w:adjustRightInd w:val="0"/>
              <w:spacing w:after="260"/>
              <w:ind w:right="2644"/>
              <w:jc w:val="center"/>
              <w:rPr>
                <w:rFonts w:ascii="Arial" w:hAnsi="Arial" w:cs="Arial"/>
                <w:sz w:val="26"/>
                <w:szCs w:val="26"/>
              </w:rPr>
            </w:pPr>
            <w:r>
              <w:rPr>
                <w:rFonts w:ascii="Arial" w:hAnsi="Arial" w:cs="Arial"/>
                <w:sz w:val="26"/>
                <w:szCs w:val="26"/>
              </w:rPr>
              <w:t>Learning Process Design Elements</w:t>
            </w:r>
          </w:p>
        </w:tc>
      </w:tr>
      <w:tr w:rsidR="004058EB" w14:paraId="650BB755" w14:textId="77777777" w:rsidTr="004058EB">
        <w:tblPrEx>
          <w:tblBorders>
            <w:top w:val="none" w:sz="0" w:space="0" w:color="auto"/>
          </w:tblBorders>
        </w:tblPrEx>
        <w:tc>
          <w:tcPr>
            <w:tcW w:w="5020" w:type="dxa"/>
            <w:tcMar>
              <w:top w:w="120" w:type="nil"/>
              <w:left w:w="120" w:type="nil"/>
              <w:bottom w:w="120" w:type="nil"/>
              <w:right w:w="120" w:type="nil"/>
            </w:tcMar>
          </w:tcPr>
          <w:p w14:paraId="7CBEAC2C" w14:textId="77777777" w:rsidR="004058EB" w:rsidRDefault="004058EB">
            <w:pPr>
              <w:widowControl w:val="0"/>
              <w:autoSpaceDE w:val="0"/>
              <w:autoSpaceDN w:val="0"/>
              <w:adjustRightInd w:val="0"/>
              <w:spacing w:after="260"/>
              <w:rPr>
                <w:rFonts w:ascii="Arial" w:hAnsi="Arial" w:cs="Arial"/>
                <w:sz w:val="26"/>
                <w:szCs w:val="26"/>
              </w:rPr>
            </w:pPr>
            <w:r>
              <w:rPr>
                <w:rFonts w:ascii="Arial" w:hAnsi="Arial" w:cs="Arial"/>
                <w:sz w:val="26"/>
                <w:szCs w:val="26"/>
              </w:rPr>
              <w:t>Preparing the learner</w:t>
            </w:r>
          </w:p>
        </w:tc>
        <w:tc>
          <w:tcPr>
            <w:tcW w:w="8048" w:type="dxa"/>
            <w:tcMar>
              <w:top w:w="120" w:type="nil"/>
              <w:left w:w="120" w:type="nil"/>
              <w:bottom w:w="120" w:type="nil"/>
              <w:right w:w="120" w:type="nil"/>
            </w:tcMar>
          </w:tcPr>
          <w:p w14:paraId="39E01829" w14:textId="77777777" w:rsidR="004058EB" w:rsidRDefault="004058EB">
            <w:pPr>
              <w:widowControl w:val="0"/>
              <w:autoSpaceDE w:val="0"/>
              <w:autoSpaceDN w:val="0"/>
              <w:adjustRightInd w:val="0"/>
              <w:spacing w:after="260"/>
              <w:rPr>
                <w:rFonts w:ascii="Arial" w:hAnsi="Arial" w:cs="Arial"/>
                <w:sz w:val="26"/>
                <w:szCs w:val="26"/>
              </w:rPr>
            </w:pPr>
            <w:r>
              <w:rPr>
                <w:rFonts w:ascii="Arial" w:hAnsi="Arial" w:cs="Arial"/>
                <w:sz w:val="26"/>
                <w:szCs w:val="26"/>
              </w:rPr>
              <w:t>Before the learning experience supply learners with advance information about the content and style of the learning experience, prepare them for participation, and assist in the development develop realistic expectations.</w:t>
            </w:r>
          </w:p>
        </w:tc>
      </w:tr>
      <w:tr w:rsidR="004058EB" w14:paraId="7D812EE4" w14:textId="77777777" w:rsidTr="004058EB">
        <w:tblPrEx>
          <w:tblBorders>
            <w:top w:val="none" w:sz="0" w:space="0" w:color="auto"/>
          </w:tblBorders>
        </w:tblPrEx>
        <w:tc>
          <w:tcPr>
            <w:tcW w:w="5020" w:type="dxa"/>
            <w:tcMar>
              <w:top w:w="120" w:type="nil"/>
              <w:left w:w="120" w:type="nil"/>
              <w:bottom w:w="120" w:type="nil"/>
              <w:right w:w="120" w:type="nil"/>
            </w:tcMar>
          </w:tcPr>
          <w:p w14:paraId="0D851AF0" w14:textId="77777777" w:rsidR="004058EB" w:rsidRDefault="004058EB">
            <w:pPr>
              <w:widowControl w:val="0"/>
              <w:autoSpaceDE w:val="0"/>
              <w:autoSpaceDN w:val="0"/>
              <w:adjustRightInd w:val="0"/>
              <w:spacing w:after="260"/>
              <w:rPr>
                <w:rFonts w:ascii="Arial" w:hAnsi="Arial" w:cs="Arial"/>
                <w:sz w:val="26"/>
                <w:szCs w:val="26"/>
              </w:rPr>
            </w:pPr>
            <w:r>
              <w:rPr>
                <w:rFonts w:ascii="Arial" w:hAnsi="Arial" w:cs="Arial"/>
                <w:sz w:val="26"/>
                <w:szCs w:val="26"/>
              </w:rPr>
              <w:t>Climate setting</w:t>
            </w:r>
          </w:p>
        </w:tc>
        <w:tc>
          <w:tcPr>
            <w:tcW w:w="8048" w:type="dxa"/>
            <w:tcMar>
              <w:top w:w="120" w:type="nil"/>
              <w:left w:w="120" w:type="nil"/>
              <w:bottom w:w="120" w:type="nil"/>
              <w:right w:w="120" w:type="nil"/>
            </w:tcMar>
          </w:tcPr>
          <w:p w14:paraId="4667219C" w14:textId="77777777" w:rsidR="004058EB" w:rsidRDefault="004058EB">
            <w:pPr>
              <w:widowControl w:val="0"/>
              <w:autoSpaceDE w:val="0"/>
              <w:autoSpaceDN w:val="0"/>
              <w:adjustRightInd w:val="0"/>
              <w:spacing w:after="260"/>
              <w:rPr>
                <w:rFonts w:ascii="Arial" w:hAnsi="Arial" w:cs="Arial"/>
                <w:sz w:val="26"/>
                <w:szCs w:val="26"/>
              </w:rPr>
            </w:pPr>
            <w:r>
              <w:rPr>
                <w:rFonts w:ascii="Arial" w:hAnsi="Arial" w:cs="Arial"/>
                <w:sz w:val="26"/>
                <w:szCs w:val="26"/>
              </w:rPr>
              <w:t>Establish a trusting, mutually respectful, informal, collaborative, and supportive learning climate.</w:t>
            </w:r>
          </w:p>
        </w:tc>
      </w:tr>
      <w:tr w:rsidR="004058EB" w14:paraId="26C581B7" w14:textId="77777777" w:rsidTr="004058EB">
        <w:tblPrEx>
          <w:tblBorders>
            <w:top w:val="none" w:sz="0" w:space="0" w:color="auto"/>
          </w:tblBorders>
        </w:tblPrEx>
        <w:tc>
          <w:tcPr>
            <w:tcW w:w="5020" w:type="dxa"/>
            <w:tcMar>
              <w:top w:w="120" w:type="nil"/>
              <w:left w:w="120" w:type="nil"/>
              <w:bottom w:w="120" w:type="nil"/>
              <w:right w:w="120" w:type="nil"/>
            </w:tcMar>
          </w:tcPr>
          <w:p w14:paraId="5FF0DD22" w14:textId="77777777" w:rsidR="004058EB" w:rsidRDefault="004058EB">
            <w:pPr>
              <w:widowControl w:val="0"/>
              <w:autoSpaceDE w:val="0"/>
              <w:autoSpaceDN w:val="0"/>
              <w:adjustRightInd w:val="0"/>
              <w:spacing w:after="260"/>
              <w:rPr>
                <w:rFonts w:ascii="Arial" w:hAnsi="Arial" w:cs="Arial"/>
                <w:sz w:val="26"/>
                <w:szCs w:val="26"/>
              </w:rPr>
            </w:pPr>
            <w:r>
              <w:rPr>
                <w:rFonts w:ascii="Arial" w:hAnsi="Arial" w:cs="Arial"/>
                <w:sz w:val="26"/>
                <w:szCs w:val="26"/>
              </w:rPr>
              <w:t>Mutual planning</w:t>
            </w:r>
          </w:p>
        </w:tc>
        <w:tc>
          <w:tcPr>
            <w:tcW w:w="8048" w:type="dxa"/>
            <w:tcMar>
              <w:top w:w="120" w:type="nil"/>
              <w:left w:w="120" w:type="nil"/>
              <w:bottom w:w="120" w:type="nil"/>
              <w:right w:w="120" w:type="nil"/>
            </w:tcMar>
          </w:tcPr>
          <w:p w14:paraId="36604861" w14:textId="77777777" w:rsidR="004058EB" w:rsidRDefault="004058EB">
            <w:pPr>
              <w:widowControl w:val="0"/>
              <w:autoSpaceDE w:val="0"/>
              <w:autoSpaceDN w:val="0"/>
              <w:adjustRightInd w:val="0"/>
              <w:spacing w:after="260"/>
              <w:rPr>
                <w:rFonts w:ascii="Arial" w:hAnsi="Arial" w:cs="Arial"/>
                <w:sz w:val="26"/>
                <w:szCs w:val="26"/>
              </w:rPr>
            </w:pPr>
            <w:r>
              <w:rPr>
                <w:rFonts w:ascii="Arial" w:hAnsi="Arial" w:cs="Arial"/>
                <w:sz w:val="26"/>
                <w:szCs w:val="26"/>
              </w:rPr>
              <w:t>Implement a collaborative approach to the planning of the learning experience by engaging learners in planning their learning experience.</w:t>
            </w:r>
          </w:p>
        </w:tc>
      </w:tr>
      <w:tr w:rsidR="004058EB" w14:paraId="61E969A5" w14:textId="77777777" w:rsidTr="004058EB">
        <w:tblPrEx>
          <w:tblBorders>
            <w:top w:val="none" w:sz="0" w:space="0" w:color="auto"/>
          </w:tblBorders>
        </w:tblPrEx>
        <w:tc>
          <w:tcPr>
            <w:tcW w:w="5020" w:type="dxa"/>
            <w:tcMar>
              <w:top w:w="120" w:type="nil"/>
              <w:left w:w="120" w:type="nil"/>
              <w:bottom w:w="120" w:type="nil"/>
              <w:right w:w="120" w:type="nil"/>
            </w:tcMar>
          </w:tcPr>
          <w:p w14:paraId="020E001B" w14:textId="77777777" w:rsidR="004058EB" w:rsidRDefault="004058EB">
            <w:pPr>
              <w:widowControl w:val="0"/>
              <w:autoSpaceDE w:val="0"/>
              <w:autoSpaceDN w:val="0"/>
              <w:adjustRightInd w:val="0"/>
              <w:spacing w:after="260"/>
              <w:rPr>
                <w:rFonts w:ascii="Arial" w:hAnsi="Arial" w:cs="Arial"/>
                <w:sz w:val="26"/>
                <w:szCs w:val="26"/>
              </w:rPr>
            </w:pPr>
            <w:r>
              <w:rPr>
                <w:rFonts w:ascii="Arial" w:hAnsi="Arial" w:cs="Arial"/>
                <w:sz w:val="26"/>
                <w:szCs w:val="26"/>
              </w:rPr>
              <w:t>Diagnosis of learning needs</w:t>
            </w:r>
          </w:p>
        </w:tc>
        <w:tc>
          <w:tcPr>
            <w:tcW w:w="8048" w:type="dxa"/>
            <w:tcMar>
              <w:top w:w="120" w:type="nil"/>
              <w:left w:w="120" w:type="nil"/>
              <w:bottom w:w="120" w:type="nil"/>
              <w:right w:w="120" w:type="nil"/>
            </w:tcMar>
          </w:tcPr>
          <w:p w14:paraId="6E26CF3E" w14:textId="77777777" w:rsidR="004058EB" w:rsidRDefault="004058EB">
            <w:pPr>
              <w:widowControl w:val="0"/>
              <w:autoSpaceDE w:val="0"/>
              <w:autoSpaceDN w:val="0"/>
              <w:adjustRightInd w:val="0"/>
              <w:spacing w:after="260"/>
              <w:rPr>
                <w:rFonts w:ascii="Arial" w:hAnsi="Arial" w:cs="Arial"/>
                <w:sz w:val="26"/>
                <w:szCs w:val="26"/>
              </w:rPr>
            </w:pPr>
            <w:r>
              <w:rPr>
                <w:rFonts w:ascii="Arial" w:hAnsi="Arial" w:cs="Arial"/>
                <w:sz w:val="26"/>
                <w:szCs w:val="26"/>
              </w:rPr>
              <w:t>Learning needs are diagnosed through a process of mutual assessment.</w:t>
            </w:r>
          </w:p>
        </w:tc>
      </w:tr>
      <w:tr w:rsidR="004058EB" w14:paraId="4CD10653" w14:textId="77777777" w:rsidTr="004058EB">
        <w:tblPrEx>
          <w:tblBorders>
            <w:top w:val="none" w:sz="0" w:space="0" w:color="auto"/>
          </w:tblBorders>
        </w:tblPrEx>
        <w:tc>
          <w:tcPr>
            <w:tcW w:w="5020" w:type="dxa"/>
            <w:tcMar>
              <w:top w:w="120" w:type="nil"/>
              <w:left w:w="120" w:type="nil"/>
              <w:bottom w:w="120" w:type="nil"/>
              <w:right w:w="120" w:type="nil"/>
            </w:tcMar>
          </w:tcPr>
          <w:p w14:paraId="5286D3E7" w14:textId="77777777" w:rsidR="004058EB" w:rsidRDefault="004058EB">
            <w:pPr>
              <w:widowControl w:val="0"/>
              <w:autoSpaceDE w:val="0"/>
              <w:autoSpaceDN w:val="0"/>
              <w:adjustRightInd w:val="0"/>
              <w:spacing w:after="260"/>
              <w:rPr>
                <w:rFonts w:ascii="Arial" w:hAnsi="Arial" w:cs="Arial"/>
                <w:sz w:val="26"/>
                <w:szCs w:val="26"/>
              </w:rPr>
            </w:pPr>
            <w:r>
              <w:rPr>
                <w:rFonts w:ascii="Arial" w:hAnsi="Arial" w:cs="Arial"/>
                <w:sz w:val="26"/>
                <w:szCs w:val="26"/>
              </w:rPr>
              <w:t>Set learning objectives</w:t>
            </w:r>
          </w:p>
        </w:tc>
        <w:tc>
          <w:tcPr>
            <w:tcW w:w="8048" w:type="dxa"/>
            <w:tcMar>
              <w:top w:w="120" w:type="nil"/>
              <w:left w:w="120" w:type="nil"/>
              <w:bottom w:w="120" w:type="nil"/>
              <w:right w:w="120" w:type="nil"/>
            </w:tcMar>
          </w:tcPr>
          <w:p w14:paraId="197C3384" w14:textId="77777777" w:rsidR="004058EB" w:rsidRDefault="004058EB">
            <w:pPr>
              <w:widowControl w:val="0"/>
              <w:autoSpaceDE w:val="0"/>
              <w:autoSpaceDN w:val="0"/>
              <w:adjustRightInd w:val="0"/>
              <w:spacing w:after="260"/>
              <w:rPr>
                <w:rFonts w:ascii="Arial" w:hAnsi="Arial" w:cs="Arial"/>
                <w:sz w:val="26"/>
                <w:szCs w:val="26"/>
              </w:rPr>
            </w:pPr>
            <w:r>
              <w:rPr>
                <w:rFonts w:ascii="Arial" w:hAnsi="Arial" w:cs="Arial"/>
                <w:sz w:val="26"/>
                <w:szCs w:val="26"/>
              </w:rPr>
              <w:t>Learning objectives are defined through a process of mutual negotiation between the instructor and the adult learners.</w:t>
            </w:r>
          </w:p>
        </w:tc>
      </w:tr>
      <w:tr w:rsidR="004058EB" w14:paraId="7452824A" w14:textId="77777777" w:rsidTr="004058EB">
        <w:tblPrEx>
          <w:tblBorders>
            <w:top w:val="none" w:sz="0" w:space="0" w:color="auto"/>
          </w:tblBorders>
        </w:tblPrEx>
        <w:tc>
          <w:tcPr>
            <w:tcW w:w="5020" w:type="dxa"/>
            <w:tcMar>
              <w:top w:w="120" w:type="nil"/>
              <w:left w:w="120" w:type="nil"/>
              <w:bottom w:w="120" w:type="nil"/>
              <w:right w:w="120" w:type="nil"/>
            </w:tcMar>
          </w:tcPr>
          <w:p w14:paraId="09EC80E9" w14:textId="77777777" w:rsidR="004058EB" w:rsidRDefault="004058EB">
            <w:pPr>
              <w:widowControl w:val="0"/>
              <w:autoSpaceDE w:val="0"/>
              <w:autoSpaceDN w:val="0"/>
              <w:adjustRightInd w:val="0"/>
              <w:spacing w:after="260"/>
              <w:rPr>
                <w:rFonts w:ascii="Arial" w:hAnsi="Arial" w:cs="Arial"/>
                <w:sz w:val="26"/>
                <w:szCs w:val="26"/>
              </w:rPr>
            </w:pPr>
            <w:r>
              <w:rPr>
                <w:rFonts w:ascii="Arial" w:hAnsi="Arial" w:cs="Arial"/>
                <w:sz w:val="26"/>
                <w:szCs w:val="26"/>
              </w:rPr>
              <w:lastRenderedPageBreak/>
              <w:t>Design of learning plans</w:t>
            </w:r>
          </w:p>
        </w:tc>
        <w:tc>
          <w:tcPr>
            <w:tcW w:w="8048" w:type="dxa"/>
            <w:tcMar>
              <w:top w:w="120" w:type="nil"/>
              <w:left w:w="120" w:type="nil"/>
              <w:bottom w:w="120" w:type="nil"/>
              <w:right w:w="120" w:type="nil"/>
            </w:tcMar>
          </w:tcPr>
          <w:p w14:paraId="511A2D8E" w14:textId="77777777" w:rsidR="004058EB" w:rsidRDefault="004058EB">
            <w:pPr>
              <w:widowControl w:val="0"/>
              <w:autoSpaceDE w:val="0"/>
              <w:autoSpaceDN w:val="0"/>
              <w:adjustRightInd w:val="0"/>
              <w:spacing w:after="260"/>
              <w:rPr>
                <w:rFonts w:ascii="Arial" w:hAnsi="Arial" w:cs="Arial"/>
                <w:sz w:val="26"/>
                <w:szCs w:val="26"/>
              </w:rPr>
            </w:pPr>
            <w:r>
              <w:rPr>
                <w:rFonts w:ascii="Arial" w:hAnsi="Arial" w:cs="Arial"/>
                <w:sz w:val="26"/>
                <w:szCs w:val="26"/>
              </w:rPr>
              <w:t>Learning plans are most effective when oriented around learning contracts, projects and sequenced by readiness.</w:t>
            </w:r>
          </w:p>
        </w:tc>
      </w:tr>
      <w:tr w:rsidR="004058EB" w14:paraId="69958CE3" w14:textId="77777777" w:rsidTr="004058EB">
        <w:tblPrEx>
          <w:tblBorders>
            <w:top w:val="none" w:sz="0" w:space="0" w:color="auto"/>
          </w:tblBorders>
        </w:tblPrEx>
        <w:tc>
          <w:tcPr>
            <w:tcW w:w="5020" w:type="dxa"/>
            <w:tcMar>
              <w:top w:w="120" w:type="nil"/>
              <w:left w:w="120" w:type="nil"/>
              <w:bottom w:w="120" w:type="nil"/>
              <w:right w:w="120" w:type="nil"/>
            </w:tcMar>
          </w:tcPr>
          <w:p w14:paraId="1C5D4BB1" w14:textId="77777777" w:rsidR="004058EB" w:rsidRDefault="004058EB">
            <w:pPr>
              <w:widowControl w:val="0"/>
              <w:autoSpaceDE w:val="0"/>
              <w:autoSpaceDN w:val="0"/>
              <w:adjustRightInd w:val="0"/>
              <w:spacing w:after="260"/>
              <w:rPr>
                <w:rFonts w:ascii="Arial" w:hAnsi="Arial" w:cs="Arial"/>
                <w:sz w:val="26"/>
                <w:szCs w:val="26"/>
              </w:rPr>
            </w:pPr>
            <w:r>
              <w:rPr>
                <w:rFonts w:ascii="Arial" w:hAnsi="Arial" w:cs="Arial"/>
                <w:sz w:val="26"/>
                <w:szCs w:val="26"/>
              </w:rPr>
              <w:t>Learning activities</w:t>
            </w:r>
          </w:p>
        </w:tc>
        <w:tc>
          <w:tcPr>
            <w:tcW w:w="8048" w:type="dxa"/>
            <w:tcMar>
              <w:top w:w="120" w:type="nil"/>
              <w:left w:w="120" w:type="nil"/>
              <w:bottom w:w="120" w:type="nil"/>
              <w:right w:w="120" w:type="nil"/>
            </w:tcMar>
          </w:tcPr>
          <w:p w14:paraId="422D940D" w14:textId="77777777" w:rsidR="004058EB" w:rsidRDefault="004058EB">
            <w:pPr>
              <w:widowControl w:val="0"/>
              <w:autoSpaceDE w:val="0"/>
              <w:autoSpaceDN w:val="0"/>
              <w:adjustRightInd w:val="0"/>
              <w:spacing w:after="260"/>
              <w:rPr>
                <w:rFonts w:ascii="Arial" w:hAnsi="Arial" w:cs="Arial"/>
                <w:sz w:val="26"/>
                <w:szCs w:val="26"/>
              </w:rPr>
            </w:pPr>
            <w:r>
              <w:rPr>
                <w:rFonts w:ascii="Arial" w:hAnsi="Arial" w:cs="Arial"/>
                <w:sz w:val="26"/>
                <w:szCs w:val="26"/>
              </w:rPr>
              <w:t>The most effective activities include inquiry projects, independent study, and the use of experiential techniques.</w:t>
            </w:r>
          </w:p>
        </w:tc>
      </w:tr>
      <w:tr w:rsidR="004058EB" w14:paraId="041E347B" w14:textId="77777777" w:rsidTr="004058EB">
        <w:tblPrEx>
          <w:tblBorders>
            <w:top w:val="none" w:sz="0" w:space="0" w:color="auto"/>
            <w:bottom w:val="single" w:sz="8" w:space="0" w:color="6D6D6D"/>
          </w:tblBorders>
        </w:tblPrEx>
        <w:tc>
          <w:tcPr>
            <w:tcW w:w="5020" w:type="dxa"/>
            <w:tcMar>
              <w:top w:w="120" w:type="nil"/>
              <w:left w:w="120" w:type="nil"/>
              <w:bottom w:w="120" w:type="nil"/>
              <w:right w:w="120" w:type="nil"/>
            </w:tcMar>
          </w:tcPr>
          <w:p w14:paraId="294ADC53" w14:textId="77777777" w:rsidR="004058EB" w:rsidRDefault="004058EB">
            <w:pPr>
              <w:widowControl w:val="0"/>
              <w:autoSpaceDE w:val="0"/>
              <w:autoSpaceDN w:val="0"/>
              <w:adjustRightInd w:val="0"/>
              <w:spacing w:after="260"/>
              <w:rPr>
                <w:rFonts w:ascii="Arial" w:hAnsi="Arial" w:cs="Arial"/>
                <w:sz w:val="26"/>
                <w:szCs w:val="26"/>
              </w:rPr>
            </w:pPr>
            <w:r>
              <w:rPr>
                <w:rFonts w:ascii="Arial" w:hAnsi="Arial" w:cs="Arial"/>
                <w:sz w:val="26"/>
                <w:szCs w:val="26"/>
              </w:rPr>
              <w:t>Evaluation of learning</w:t>
            </w:r>
          </w:p>
        </w:tc>
        <w:tc>
          <w:tcPr>
            <w:tcW w:w="8048" w:type="dxa"/>
            <w:tcMar>
              <w:top w:w="120" w:type="nil"/>
              <w:left w:w="120" w:type="nil"/>
              <w:bottom w:w="120" w:type="nil"/>
              <w:right w:w="120" w:type="nil"/>
            </w:tcMar>
          </w:tcPr>
          <w:p w14:paraId="37F3194B" w14:textId="77777777" w:rsidR="004058EB" w:rsidRDefault="004058EB">
            <w:pPr>
              <w:widowControl w:val="0"/>
              <w:autoSpaceDE w:val="0"/>
              <w:autoSpaceDN w:val="0"/>
              <w:adjustRightInd w:val="0"/>
              <w:spacing w:after="260"/>
              <w:rPr>
                <w:rFonts w:ascii="Arial" w:hAnsi="Arial" w:cs="Arial"/>
                <w:sz w:val="26"/>
                <w:szCs w:val="26"/>
              </w:rPr>
            </w:pPr>
            <w:r>
              <w:rPr>
                <w:rFonts w:ascii="Arial" w:hAnsi="Arial" w:cs="Arial"/>
                <w:sz w:val="26"/>
                <w:szCs w:val="26"/>
              </w:rPr>
              <w:t>Learning evaluation is most effective when done through the collection of learner collected evidence that is criterion-referenced and validated by peers or experts.</w:t>
            </w:r>
          </w:p>
        </w:tc>
      </w:tr>
    </w:tbl>
    <w:p w14:paraId="15D00B2F" w14:textId="77777777" w:rsidR="004058EB" w:rsidRDefault="004058EB" w:rsidP="004058EB">
      <w:pPr>
        <w:widowControl w:val="0"/>
        <w:autoSpaceDE w:val="0"/>
        <w:autoSpaceDN w:val="0"/>
        <w:adjustRightInd w:val="0"/>
        <w:spacing w:after="260"/>
        <w:rPr>
          <w:rFonts w:ascii="Arial" w:hAnsi="Arial" w:cs="Arial"/>
          <w:sz w:val="26"/>
          <w:szCs w:val="26"/>
        </w:rPr>
      </w:pPr>
      <w:r>
        <w:rPr>
          <w:rFonts w:ascii="Arial" w:hAnsi="Arial" w:cs="Arial"/>
          <w:sz w:val="26"/>
          <w:szCs w:val="26"/>
        </w:rPr>
        <w:t> </w:t>
      </w:r>
    </w:p>
    <w:p w14:paraId="6949BBE6" w14:textId="77777777" w:rsidR="004058EB" w:rsidRDefault="004058EB" w:rsidP="004058EB">
      <w:pPr>
        <w:widowControl w:val="0"/>
        <w:autoSpaceDE w:val="0"/>
        <w:autoSpaceDN w:val="0"/>
        <w:adjustRightInd w:val="0"/>
        <w:spacing w:after="260"/>
        <w:rPr>
          <w:rFonts w:ascii="Arial" w:hAnsi="Arial" w:cs="Arial"/>
          <w:sz w:val="26"/>
          <w:szCs w:val="26"/>
        </w:rPr>
      </w:pPr>
    </w:p>
    <w:p w14:paraId="4CBA5EBD" w14:textId="77777777" w:rsidR="004058EB" w:rsidRDefault="004058EB" w:rsidP="004058EB">
      <w:pPr>
        <w:widowControl w:val="0"/>
        <w:autoSpaceDE w:val="0"/>
        <w:autoSpaceDN w:val="0"/>
        <w:adjustRightInd w:val="0"/>
        <w:spacing w:after="260"/>
        <w:jc w:val="center"/>
        <w:rPr>
          <w:rFonts w:ascii="Arial" w:hAnsi="Arial" w:cs="Arial"/>
          <w:sz w:val="26"/>
          <w:szCs w:val="26"/>
        </w:rPr>
      </w:pPr>
      <w:r>
        <w:rPr>
          <w:rFonts w:ascii="Arial" w:hAnsi="Arial" w:cs="Arial"/>
          <w:sz w:val="26"/>
          <w:szCs w:val="26"/>
        </w:rPr>
        <w:t>References</w:t>
      </w:r>
    </w:p>
    <w:p w14:paraId="24D15FFD" w14:textId="77777777" w:rsidR="004058EB" w:rsidRDefault="004058EB" w:rsidP="004058EB">
      <w:pPr>
        <w:widowControl w:val="0"/>
        <w:autoSpaceDE w:val="0"/>
        <w:autoSpaceDN w:val="0"/>
        <w:adjustRightInd w:val="0"/>
        <w:spacing w:after="260"/>
        <w:rPr>
          <w:rFonts w:ascii="Arial" w:hAnsi="Arial" w:cs="Arial"/>
          <w:sz w:val="26"/>
          <w:szCs w:val="26"/>
        </w:rPr>
      </w:pPr>
      <w:r>
        <w:rPr>
          <w:rFonts w:ascii="Arial" w:hAnsi="Arial" w:cs="Arial"/>
          <w:sz w:val="26"/>
          <w:szCs w:val="26"/>
        </w:rPr>
        <w:t xml:space="preserve"> Holton, E. F., Swanson Wilson, L., &amp; Bates, R. A. (2009). Toward development of a generalized instrument to measure andragogy. </w:t>
      </w:r>
      <w:r>
        <w:rPr>
          <w:rFonts w:ascii="Arial" w:hAnsi="Arial" w:cs="Arial"/>
          <w:i/>
          <w:iCs/>
          <w:sz w:val="26"/>
          <w:szCs w:val="26"/>
        </w:rPr>
        <w:t>Human Resource Development Quarterly, 20</w:t>
      </w:r>
      <w:r>
        <w:rPr>
          <w:rFonts w:ascii="Arial" w:hAnsi="Arial" w:cs="Arial"/>
          <w:sz w:val="26"/>
          <w:szCs w:val="26"/>
        </w:rPr>
        <w:t>(2), 169-193. doi:10.1002/hrdq.20014</w:t>
      </w:r>
    </w:p>
    <w:p w14:paraId="0F5C32E5" w14:textId="77777777" w:rsidR="004058EB" w:rsidRDefault="004058EB" w:rsidP="004058EB">
      <w:pPr>
        <w:widowControl w:val="0"/>
        <w:autoSpaceDE w:val="0"/>
        <w:autoSpaceDN w:val="0"/>
        <w:adjustRightInd w:val="0"/>
        <w:spacing w:after="260"/>
        <w:rPr>
          <w:rFonts w:ascii="Arial" w:hAnsi="Arial" w:cs="Arial"/>
          <w:sz w:val="26"/>
          <w:szCs w:val="26"/>
        </w:rPr>
      </w:pPr>
      <w:r>
        <w:rPr>
          <w:rFonts w:ascii="Arial" w:hAnsi="Arial" w:cs="Arial"/>
          <w:sz w:val="26"/>
          <w:szCs w:val="26"/>
        </w:rPr>
        <w:t>Holton, E. F., &amp; Bates, R. A. (2008).  The andragogy in practice inventory. Technical report: Louisiana State University.</w:t>
      </w:r>
    </w:p>
    <w:p w14:paraId="5F1947B1" w14:textId="77777777" w:rsidR="006441E2" w:rsidRDefault="006441E2"/>
    <w:sectPr w:rsidR="006441E2" w:rsidSect="004058EB">
      <w:headerReference w:type="even" r:id="rId7"/>
      <w:headerReference w:type="default" r:id="rId8"/>
      <w:pgSz w:w="15840" w:h="12240" w:orient="landscape"/>
      <w:pgMar w:top="1800" w:right="1440" w:bottom="1800" w:left="1440" w:header="720" w:footer="720" w:gutter="0"/>
      <w:cols w:space="72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970810" w14:textId="77777777" w:rsidR="005662A7" w:rsidRDefault="005662A7" w:rsidP="005662A7">
      <w:r>
        <w:separator/>
      </w:r>
    </w:p>
  </w:endnote>
  <w:endnote w:type="continuationSeparator" w:id="0">
    <w:p w14:paraId="135B62D4" w14:textId="77777777" w:rsidR="005662A7" w:rsidRDefault="005662A7" w:rsidP="005662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E03C99" w14:textId="77777777" w:rsidR="005662A7" w:rsidRDefault="005662A7" w:rsidP="005662A7">
      <w:r>
        <w:separator/>
      </w:r>
    </w:p>
  </w:footnote>
  <w:footnote w:type="continuationSeparator" w:id="0">
    <w:p w14:paraId="26A260AA" w14:textId="77777777" w:rsidR="005662A7" w:rsidRDefault="005662A7" w:rsidP="005662A7">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C3EDDA" w14:textId="77777777" w:rsidR="005662A7" w:rsidRDefault="005662A7" w:rsidP="005662A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388A886" w14:textId="77777777" w:rsidR="005662A7" w:rsidRDefault="005662A7" w:rsidP="005662A7">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FE2FA2" w14:textId="77777777" w:rsidR="005662A7" w:rsidRDefault="005662A7" w:rsidP="005662A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C6B38">
      <w:rPr>
        <w:rStyle w:val="PageNumber"/>
        <w:noProof/>
      </w:rPr>
      <w:t>1</w:t>
    </w:r>
    <w:r>
      <w:rPr>
        <w:rStyle w:val="PageNumber"/>
      </w:rPr>
      <w:fldChar w:fldCharType="end"/>
    </w:r>
  </w:p>
  <w:p w14:paraId="7E763629" w14:textId="77777777" w:rsidR="005662A7" w:rsidRDefault="005662A7" w:rsidP="005662A7">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58EB"/>
    <w:rsid w:val="004058EB"/>
    <w:rsid w:val="005662A7"/>
    <w:rsid w:val="006441E2"/>
    <w:rsid w:val="00EC6B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D42E64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62A7"/>
    <w:pPr>
      <w:tabs>
        <w:tab w:val="center" w:pos="4320"/>
        <w:tab w:val="right" w:pos="8640"/>
      </w:tabs>
    </w:pPr>
  </w:style>
  <w:style w:type="character" w:customStyle="1" w:styleId="HeaderChar">
    <w:name w:val="Header Char"/>
    <w:basedOn w:val="DefaultParagraphFont"/>
    <w:link w:val="Header"/>
    <w:uiPriority w:val="99"/>
    <w:rsid w:val="005662A7"/>
  </w:style>
  <w:style w:type="character" w:styleId="PageNumber">
    <w:name w:val="page number"/>
    <w:basedOn w:val="DefaultParagraphFont"/>
    <w:uiPriority w:val="99"/>
    <w:semiHidden/>
    <w:unhideWhenUsed/>
    <w:rsid w:val="005662A7"/>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62A7"/>
    <w:pPr>
      <w:tabs>
        <w:tab w:val="center" w:pos="4320"/>
        <w:tab w:val="right" w:pos="8640"/>
      </w:tabs>
    </w:pPr>
  </w:style>
  <w:style w:type="character" w:customStyle="1" w:styleId="HeaderChar">
    <w:name w:val="Header Char"/>
    <w:basedOn w:val="DefaultParagraphFont"/>
    <w:link w:val="Header"/>
    <w:uiPriority w:val="99"/>
    <w:rsid w:val="005662A7"/>
  </w:style>
  <w:style w:type="character" w:styleId="PageNumber">
    <w:name w:val="page number"/>
    <w:basedOn w:val="DefaultParagraphFont"/>
    <w:uiPriority w:val="99"/>
    <w:semiHidden/>
    <w:unhideWhenUsed/>
    <w:rsid w:val="005662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Relationships xmlns="http://schemas.openxmlformats.org/package/2006/relationships">
  <Relationship Id="rId1" Type="http://schemas.openxmlformats.org/officeDocument/2006/relationships/styles" Target="styles.xml"/>
  <Relationship Id="rId10" Type="http://schemas.openxmlformats.org/officeDocument/2006/relationships/theme" Target="theme/theme1.xml"/>
  <Relationship Id="rId2" Type="http://schemas.microsoft.com/office/2007/relationships/stylesWithEffects" Target="stylesWithEffect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otnotes" Target="footnotes.xml"/>
  <Relationship Id="rId6" Type="http://schemas.openxmlformats.org/officeDocument/2006/relationships/endnotes" Target="endnotes.xm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3</Pages>
  <Words>450</Words>
  <Characters>2569</Characters>
  <Application/>
  <DocSecurity>0</DocSecurity>
  <Lines>21</Lines>
  <Paragraphs>6</Paragraphs>
  <ScaleCrop>false</ScaleCrop>
  <Company/>
  <LinksUpToDate>false</LinksUpToDate>
  <CharactersWithSpaces>3013</CharactersWithSpaces>
  <SharedDoc>false</SharedDoc>
  <HyperlinksChanged>false</HyperlinksChanged>
  <AppVersion>14.0000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